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A" w:rsidRDefault="008322EA" w:rsidP="008322EA">
      <w:pPr>
        <w:rPr>
          <w:sz w:val="18"/>
          <w:szCs w:val="18"/>
          <w:lang w:val="en-US"/>
        </w:rPr>
      </w:pPr>
    </w:p>
    <w:p w:rsidR="008322EA" w:rsidRDefault="008322EA" w:rsidP="008322E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8322EA" w:rsidRDefault="008322EA" w:rsidP="008322E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8322EA" w:rsidRDefault="008322EA" w:rsidP="008322E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8322EA" w:rsidRDefault="008322EA" w:rsidP="008322E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8322EA" w:rsidRDefault="008322EA" w:rsidP="008322EA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8322EA" w:rsidRDefault="008322EA" w:rsidP="008322EA">
      <w:pPr>
        <w:jc w:val="center"/>
        <w:rPr>
          <w:b/>
          <w:sz w:val="18"/>
          <w:szCs w:val="18"/>
          <w:lang w:val="uk-UA"/>
        </w:rPr>
      </w:pPr>
    </w:p>
    <w:p w:rsidR="008322EA" w:rsidRDefault="008322EA" w:rsidP="008322EA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8322EA" w:rsidRDefault="008322EA" w:rsidP="008322EA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686A9A" w:rsidRPr="00686A9A" w:rsidRDefault="00686A9A" w:rsidP="00686A9A">
      <w:pPr>
        <w:jc w:val="center"/>
        <w:rPr>
          <w:b/>
          <w:color w:val="000000"/>
          <w:sz w:val="18"/>
          <w:szCs w:val="18"/>
          <w:lang w:val="uk-UA"/>
        </w:rPr>
      </w:pPr>
      <w:r w:rsidRPr="00686A9A">
        <w:rPr>
          <w:rStyle w:val="rvts23"/>
          <w:b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ПРИЗНАЧЕННЯ ТА ВИПЛАТА КОМПЕНСАЦІЙ ТА ДОПОМОГИ </w:t>
      </w:r>
      <w:r w:rsidRPr="00686A9A">
        <w:rPr>
          <w:b/>
          <w:color w:val="000000"/>
          <w:sz w:val="18"/>
          <w:szCs w:val="18"/>
          <w:lang w:val="uk-UA"/>
        </w:rPr>
        <w:t>УЧАСНИКАМ ЛІКВІДАЦІЇ НАСЛІДКІВ АВАРІЇ НА ЧОРНОБИЛЬСЬКІЙ АЕС, УЧАСНИКАМ ЛІКВІДАЦІЇ ЯДЕРНИХ АВАРІЙ,</w:t>
      </w:r>
      <w:r w:rsidRPr="00686A9A">
        <w:rPr>
          <w:b/>
          <w:sz w:val="18"/>
          <w:szCs w:val="18"/>
          <w:lang w:val="uk-UA"/>
        </w:rPr>
        <w:t xml:space="preserve"> ПОТЕРПІЛИМ ВІД ЧОРНОБИЛЬСЬКОЇ КАТАСТРОФИ, ПОТЕРПІЛИМ ВІД РАДІАЦІЙНОГО ОПРОМІНЕННЯ, ВІДНЕСЕНИХ ДО КАТЕГОРІЙ 1, 2 ТА 3, ДІТЯМ, ПОТЕРПІЛИМ ВІД ЧОРНОБИЛЬСЬКОЇ КАТАСТРОФИ, ДІТЯМ З ІНВАЛІДНІСТЮ ВНАСЛІДОК ЧОРНОБИЛЬСЬКОЇ КАТАСТРОФИ”</w:t>
      </w:r>
    </w:p>
    <w:p w:rsidR="008322EA" w:rsidRDefault="00686A9A" w:rsidP="008322EA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8322EA">
        <w:rPr>
          <w:sz w:val="18"/>
          <w:szCs w:val="18"/>
          <w:lang w:val="uk-UA"/>
        </w:rPr>
        <w:t>( назва адміністративної послуги)</w:t>
      </w:r>
    </w:p>
    <w:p w:rsidR="008322EA" w:rsidRDefault="008322EA" w:rsidP="008322EA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8322EA" w:rsidRDefault="008322EA" w:rsidP="008322EA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883"/>
      </w:tblGrid>
      <w:tr w:rsidR="008322EA" w:rsidTr="008322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8322EA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 w:rsidP="00101D9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8" w:rsidRDefault="00101D98" w:rsidP="00101D98">
            <w:pPr>
              <w:spacing w:line="276" w:lineRule="auto"/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sz w:val="20"/>
                <w:szCs w:val="20"/>
              </w:rPr>
              <w:t>Київська</w:t>
            </w:r>
            <w:proofErr w:type="spellEnd"/>
            <w:r>
              <w:rPr>
                <w:sz w:val="20"/>
                <w:szCs w:val="20"/>
              </w:rPr>
              <w:t xml:space="preserve"> область, м. Березань,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Героїв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Небесної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Сотні</w:t>
            </w:r>
            <w:proofErr w:type="spellEnd"/>
            <w:r>
              <w:rPr>
                <w:sz w:val="20"/>
                <w:szCs w:val="20"/>
              </w:rPr>
              <w:t>, 16</w:t>
            </w:r>
          </w:p>
          <w:p w:rsidR="008322EA" w:rsidRDefault="008322EA" w:rsidP="00101D98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8322EA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 w:rsidP="00101D9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D" w:rsidRPr="00690C0D" w:rsidRDefault="00690C0D" w:rsidP="00690C0D">
            <w:pPr>
              <w:rPr>
                <w:sz w:val="20"/>
                <w:szCs w:val="20"/>
                <w:lang w:val="uk-UA"/>
              </w:rPr>
            </w:pPr>
            <w:r w:rsidRPr="00690C0D">
              <w:rPr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690C0D" w:rsidRPr="00690C0D" w:rsidRDefault="00690C0D" w:rsidP="00690C0D">
            <w:pPr>
              <w:rPr>
                <w:sz w:val="20"/>
                <w:szCs w:val="20"/>
                <w:lang w:val="uk-UA"/>
              </w:rPr>
            </w:pPr>
            <w:r w:rsidRPr="00690C0D">
              <w:rPr>
                <w:sz w:val="20"/>
                <w:szCs w:val="20"/>
                <w:lang w:val="uk-UA"/>
              </w:rPr>
              <w:t xml:space="preserve"> четвер: 08.00-20.00</w:t>
            </w:r>
          </w:p>
          <w:p w:rsidR="00690C0D" w:rsidRPr="00690C0D" w:rsidRDefault="00690C0D" w:rsidP="00690C0D">
            <w:pPr>
              <w:rPr>
                <w:sz w:val="20"/>
                <w:szCs w:val="20"/>
                <w:lang w:val="uk-UA"/>
              </w:rPr>
            </w:pPr>
            <w:r w:rsidRPr="00690C0D">
              <w:rPr>
                <w:sz w:val="20"/>
                <w:szCs w:val="20"/>
                <w:lang w:val="uk-UA"/>
              </w:rPr>
              <w:t>П’</w:t>
            </w:r>
            <w:proofErr w:type="spellStart"/>
            <w:r w:rsidRPr="00690C0D">
              <w:rPr>
                <w:sz w:val="20"/>
                <w:szCs w:val="20"/>
              </w:rPr>
              <w:t>ятниця</w:t>
            </w:r>
            <w:proofErr w:type="spellEnd"/>
            <w:r w:rsidRPr="00690C0D">
              <w:rPr>
                <w:sz w:val="20"/>
                <w:szCs w:val="20"/>
              </w:rPr>
              <w:t>:</w:t>
            </w:r>
            <w:r w:rsidRPr="00690C0D">
              <w:rPr>
                <w:sz w:val="20"/>
                <w:szCs w:val="20"/>
                <w:lang w:val="uk-UA"/>
              </w:rPr>
              <w:t xml:space="preserve"> 08.00-15.45</w:t>
            </w:r>
          </w:p>
          <w:p w:rsidR="00690C0D" w:rsidRPr="00690C0D" w:rsidRDefault="00690C0D" w:rsidP="00690C0D">
            <w:pPr>
              <w:rPr>
                <w:sz w:val="20"/>
                <w:szCs w:val="20"/>
                <w:lang w:val="uk-UA"/>
              </w:rPr>
            </w:pPr>
            <w:r w:rsidRPr="00690C0D">
              <w:rPr>
                <w:sz w:val="20"/>
                <w:szCs w:val="20"/>
                <w:lang w:val="uk-UA"/>
              </w:rPr>
              <w:t>Субота: 08.00-14.00</w:t>
            </w:r>
          </w:p>
          <w:p w:rsidR="008322EA" w:rsidRDefault="00690C0D" w:rsidP="00690C0D">
            <w:pPr>
              <w:jc w:val="both"/>
              <w:rPr>
                <w:sz w:val="18"/>
                <w:szCs w:val="18"/>
                <w:lang w:val="uk-UA"/>
              </w:rPr>
            </w:pPr>
            <w:r w:rsidRPr="00690C0D">
              <w:rPr>
                <w:sz w:val="20"/>
                <w:szCs w:val="20"/>
                <w:lang w:val="uk-UA" w:eastAsia="en-US"/>
              </w:rPr>
              <w:t>Неділя - вихідний</w:t>
            </w:r>
          </w:p>
        </w:tc>
      </w:tr>
      <w:tr w:rsidR="008322EA" w:rsidRPr="00690C0D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 w:rsidP="00690C0D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</w:t>
            </w:r>
            <w:r w:rsidR="00690C0D">
              <w:rPr>
                <w:sz w:val="18"/>
                <w:szCs w:val="18"/>
                <w:lang w:val="uk-UA"/>
              </w:rPr>
              <w:t>електронна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690C0D">
              <w:rPr>
                <w:sz w:val="18"/>
                <w:szCs w:val="18"/>
                <w:lang w:val="uk-UA"/>
              </w:rPr>
              <w:t xml:space="preserve">адреса, офіційний </w:t>
            </w:r>
            <w:r>
              <w:rPr>
                <w:sz w:val="18"/>
                <w:szCs w:val="18"/>
                <w:lang w:val="uk-UA"/>
              </w:rPr>
              <w:t xml:space="preserve">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D" w:rsidRDefault="00690C0D" w:rsidP="00690C0D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тел. 6-43-08</w:t>
            </w:r>
          </w:p>
          <w:p w:rsidR="00690C0D" w:rsidRDefault="00690C0D" w:rsidP="00690C0D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тел. 6-44-43</w:t>
            </w:r>
          </w:p>
          <w:p w:rsidR="008322EA" w:rsidRPr="00690C0D" w:rsidRDefault="00690C0D" w:rsidP="00690C0D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cnap</w:t>
            </w:r>
            <w:r w:rsidRPr="00690C0D">
              <w:rPr>
                <w:sz w:val="20"/>
                <w:szCs w:val="20"/>
                <w:lang w:val="uk-UA"/>
              </w:rPr>
              <w:t>_</w:t>
            </w:r>
            <w:r>
              <w:rPr>
                <w:sz w:val="20"/>
                <w:szCs w:val="20"/>
                <w:lang w:val="en-US"/>
              </w:rPr>
              <w:t>berezan</w:t>
            </w:r>
            <w:r w:rsidRPr="00690C0D">
              <w:rPr>
                <w:sz w:val="20"/>
                <w:szCs w:val="20"/>
                <w:lang w:val="uk-UA"/>
              </w:rPr>
              <w:t>_</w:t>
            </w:r>
            <w:r>
              <w:rPr>
                <w:sz w:val="20"/>
                <w:szCs w:val="20"/>
                <w:lang w:val="en-US"/>
              </w:rPr>
              <w:t>mr</w:t>
            </w:r>
            <w:r w:rsidRPr="00690C0D">
              <w:rPr>
                <w:sz w:val="20"/>
                <w:szCs w:val="20"/>
                <w:lang w:val="uk-UA"/>
              </w:rPr>
              <w:t>005@</w:t>
            </w:r>
            <w:r>
              <w:rPr>
                <w:sz w:val="20"/>
                <w:szCs w:val="20"/>
                <w:lang w:val="en-US"/>
              </w:rPr>
              <w:t>ukr</w:t>
            </w:r>
            <w:r w:rsidRPr="00690C0D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</w:tr>
      <w:tr w:rsidR="008322EA" w:rsidTr="008322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22EA" w:rsidRPr="00686A9A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Pr="009D518B" w:rsidRDefault="00956907" w:rsidP="00956907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 України «</w:t>
            </w:r>
            <w:r w:rsidR="008322EA">
              <w:rPr>
                <w:sz w:val="18"/>
                <w:szCs w:val="18"/>
                <w:lang w:val="uk-UA"/>
              </w:rPr>
              <w:t xml:space="preserve">Про статус </w:t>
            </w:r>
            <w:r>
              <w:rPr>
                <w:sz w:val="18"/>
                <w:szCs w:val="18"/>
                <w:lang w:val="uk-UA"/>
              </w:rPr>
              <w:t>і соціальний захист громадян, які постраждали внаслідок Чорнобильської катастрофи»</w:t>
            </w:r>
            <w:r w:rsidR="009D518B">
              <w:rPr>
                <w:sz w:val="18"/>
                <w:szCs w:val="18"/>
                <w:lang w:val="uk-UA"/>
              </w:rPr>
              <w:t xml:space="preserve"> від 28.02.1991 № 796-</w:t>
            </w:r>
            <w:r w:rsidR="009D518B">
              <w:rPr>
                <w:sz w:val="18"/>
                <w:szCs w:val="18"/>
                <w:lang w:val="en-US"/>
              </w:rPr>
              <w:t>X</w:t>
            </w:r>
            <w:r w:rsidR="009D518B">
              <w:rPr>
                <w:sz w:val="18"/>
                <w:szCs w:val="18"/>
                <w:lang w:val="uk-UA"/>
              </w:rPr>
              <w:t>ІІ</w:t>
            </w:r>
          </w:p>
        </w:tc>
      </w:tr>
      <w:tr w:rsidR="008322EA" w:rsidRPr="008124B9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A" w:rsidRDefault="008322E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3" w:rsidRDefault="008124B9" w:rsidP="008124B9">
            <w:pPr>
              <w:pStyle w:val="a5"/>
              <w:shd w:val="clear" w:color="auto" w:fill="auto"/>
              <w:jc w:val="both"/>
              <w:rPr>
                <w:sz w:val="18"/>
                <w:szCs w:val="18"/>
                <w:lang w:val="uk-UA"/>
              </w:rPr>
            </w:pPr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Кабінету Міністрів Укр</w:t>
            </w:r>
            <w:r w:rsidR="00452B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аїни від 20.09.2005 </w:t>
            </w:r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№ 936 </w:t>
            </w:r>
            <w:proofErr w:type="spellStart"/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„Про</w:t>
            </w:r>
            <w:proofErr w:type="spellEnd"/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катастрофи”; </w:t>
            </w:r>
            <w:r w:rsidRPr="008124B9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постанова Кабінету Міністрів України </w:t>
            </w:r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26.10.2016              № 760 </w:t>
            </w:r>
            <w:proofErr w:type="spellStart"/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„</w:t>
            </w:r>
            <w:r w:rsidRPr="008124B9">
              <w:rPr>
                <w:rStyle w:val="rvts23"/>
                <w:rFonts w:ascii="Times New Roman" w:hAnsi="Times New Roman" w:cs="Times New Roman"/>
                <w:sz w:val="18"/>
                <w:szCs w:val="18"/>
                <w:lang w:val="uk-UA"/>
              </w:rPr>
              <w:t>Про</w:t>
            </w:r>
            <w:proofErr w:type="spellEnd"/>
            <w:r w:rsidRPr="008124B9">
              <w:rPr>
                <w:rStyle w:val="rvts23"/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громадян”; </w:t>
            </w:r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Кабінету Міністрів України від</w:t>
            </w:r>
            <w:r w:rsidRPr="008124B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5" w:tgtFrame="_blank" w:history="1"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 xml:space="preserve">21.05.1992 № 258 </w:t>
              </w:r>
              <w:proofErr w:type="spellStart"/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>„Про</w:t>
              </w:r>
              <w:proofErr w:type="spellEnd"/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 xml:space="preserve">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 постанова Кабінету Міністрів України від</w:t>
            </w:r>
            <w:r w:rsidRPr="008124B9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6" w:tgtFrame="_blank" w:history="1"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 xml:space="preserve">12.07.2005 № 562 </w:t>
              </w:r>
              <w:proofErr w:type="spellStart"/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>„Про</w:t>
              </w:r>
              <w:proofErr w:type="spellEnd"/>
              <w:r w:rsidRPr="008124B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uk-UA"/>
                </w:rPr>
                <w:t xml:space="preserve"> щорічну допомогу на оздоровлення громадян, які постраждали внаслідок Чорнобильської катастрофи”</w:t>
              </w:r>
            </w:hyperlink>
            <w:r w:rsidRPr="008124B9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  <w:lang w:val="uk-UA"/>
              </w:rPr>
              <w:t>; п</w:t>
            </w:r>
            <w:r w:rsidRPr="008124B9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останова Кабінету Міністрів України </w:t>
            </w:r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14.05.2015 № 285 </w:t>
            </w:r>
            <w:proofErr w:type="spellStart"/>
            <w:r w:rsidRPr="008124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„</w:t>
            </w:r>
            <w:r w:rsidRPr="008124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Про</w:t>
            </w:r>
            <w:proofErr w:type="spellEnd"/>
            <w:r w:rsidRPr="008124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компенсаційні виплати особам, які постраждали внаслідок Чорнобильської катастрофи, та визнання такими, що втратили чинність, деяких постан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ов Кабінету Міністрів України”.</w:t>
            </w:r>
          </w:p>
        </w:tc>
      </w:tr>
      <w:tr w:rsidR="002474A8" w:rsidRP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Pr="002474A8" w:rsidRDefault="002474A8" w:rsidP="004C3FC0">
            <w:pPr>
              <w:spacing w:line="256" w:lineRule="auto"/>
              <w:jc w:val="both"/>
              <w:rPr>
                <w:sz w:val="18"/>
                <w:szCs w:val="18"/>
                <w:lang w:val="uk-UA"/>
              </w:rPr>
            </w:pPr>
            <w:r w:rsidRPr="002474A8">
              <w:rPr>
                <w:sz w:val="18"/>
                <w:szCs w:val="18"/>
                <w:shd w:val="clear" w:color="auto" w:fill="FFFFFF"/>
                <w:lang w:val="uk-UA"/>
              </w:rPr>
              <w:t xml:space="preserve">Наказ Мінпраці від 19.09.2006 № 345 </w:t>
            </w:r>
            <w:proofErr w:type="spellStart"/>
            <w:r w:rsidRPr="002474A8">
              <w:rPr>
                <w:sz w:val="18"/>
                <w:szCs w:val="18"/>
                <w:shd w:val="clear" w:color="auto" w:fill="FFFFFF"/>
                <w:lang w:val="uk-UA"/>
              </w:rPr>
              <w:t>„Про</w:t>
            </w:r>
            <w:proofErr w:type="spellEnd"/>
            <w:r w:rsidRPr="002474A8">
              <w:rPr>
                <w:sz w:val="18"/>
                <w:szCs w:val="18"/>
                <w:shd w:val="clear" w:color="auto" w:fill="FFFFFF"/>
                <w:lang w:val="uk-UA"/>
              </w:rPr>
              <w:t xml:space="preserve"> затвердження Інструкції щодо порядку оформлення і ведення особових справ </w:t>
            </w:r>
            <w:r w:rsidRPr="002474A8">
              <w:rPr>
                <w:sz w:val="18"/>
                <w:szCs w:val="18"/>
                <w:shd w:val="clear" w:color="auto" w:fill="FFFFFF"/>
                <w:lang w:val="uk-UA"/>
              </w:rPr>
              <w:lastRenderedPageBreak/>
              <w:t>отримувачів усіх видів соціальної допомоги” (зі змінами), зареєстрований у Міністерстві юстиції України 06.10.2006 за № 1098/12972</w:t>
            </w:r>
          </w:p>
        </w:tc>
      </w:tr>
      <w:tr w:rsidR="002474A8" w:rsidTr="008322EA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2474A8" w:rsidTr="008322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2474A8" w:rsidRPr="00235293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3" w:rsidRDefault="00235293" w:rsidP="00235293">
            <w:pPr>
              <w:spacing w:line="256" w:lineRule="auto"/>
              <w:jc w:val="both"/>
              <w:rPr>
                <w:sz w:val="18"/>
                <w:szCs w:val="18"/>
                <w:lang w:val="uk-UA"/>
              </w:rPr>
            </w:pPr>
            <w:r w:rsidRPr="00235293">
              <w:rPr>
                <w:color w:val="000000"/>
                <w:sz w:val="18"/>
                <w:szCs w:val="18"/>
                <w:lang w:val="uk-UA"/>
              </w:rPr>
              <w:t>Встановлення статусу учасника ліквідації наслідків аварії на Чорнобильській АЕС, учасника ліквідації ядерних аварій,</w:t>
            </w:r>
            <w:r w:rsidRPr="00235293">
              <w:rPr>
                <w:sz w:val="18"/>
                <w:szCs w:val="18"/>
                <w:lang w:val="uk-UA"/>
              </w:rPr>
              <w:t xml:space="preserve"> потерпілого від Чорнобильської катастрофи, потерпілого від радіаційного опромінення, ві</w:t>
            </w:r>
            <w:r>
              <w:rPr>
                <w:sz w:val="18"/>
                <w:szCs w:val="18"/>
                <w:lang w:val="uk-UA"/>
              </w:rPr>
              <w:t>днесених до категорій 1, 2 та 3;</w:t>
            </w:r>
          </w:p>
          <w:p w:rsidR="002474A8" w:rsidRDefault="00235293" w:rsidP="00235293">
            <w:pPr>
              <w:spacing w:line="256" w:lineRule="auto"/>
              <w:jc w:val="both"/>
              <w:rPr>
                <w:sz w:val="18"/>
                <w:szCs w:val="18"/>
                <w:lang w:val="uk-UA"/>
              </w:rPr>
            </w:pPr>
            <w:r w:rsidRPr="00235293">
              <w:rPr>
                <w:sz w:val="18"/>
                <w:szCs w:val="18"/>
                <w:lang w:val="uk-UA"/>
              </w:rPr>
              <w:t>встановлення статусу дитини (посвідчення серії Д), потерпілої від Чорнобильської катастрофи, дитини з інвалідністю внаслідок Чорнобильської катастрофи (посвідчення серії Д з вкладкою про інвалідність, пов’язану з Чорнобильською катастрофою)</w:t>
            </w:r>
          </w:p>
        </w:tc>
      </w:tr>
      <w:tr w:rsidR="002474A8" w:rsidRPr="00EA262A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 xml:space="preserve">Для призначення та виплати компенсацій та допомоги 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особам, які є </w:t>
            </w: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>учасниками ліквідації наслідків аварії  на Чорнобильській АЕС, учасниками ліквідації ядерних аварій,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 потерпілими від Чорнобильської катастрофи, потерпілими від радіаційного опромінення, віднесеним до категорії 1: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заява;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0" w:name="n47"/>
            <w:bookmarkEnd w:id="0"/>
            <w:r w:rsidRPr="00EA262A">
              <w:rPr>
                <w:color w:val="000000"/>
                <w:sz w:val="18"/>
                <w:szCs w:val="18"/>
                <w:lang w:val="uk-UA"/>
              </w:rPr>
              <w:t>копія паспорта;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1" w:name="n48"/>
            <w:bookmarkEnd w:id="1"/>
            <w:r w:rsidRPr="00EA262A">
              <w:rPr>
                <w:color w:val="000000"/>
                <w:sz w:val="18"/>
                <w:szCs w:val="18"/>
                <w:lang w:val="uk-UA"/>
              </w:rPr>
              <w:t>копія посвідчення особи, яка постраждала внаслідок Чорнобильської катастрофи, категорії 1 (посвідчення серії А, Б, Я);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інвалідами внаслідок Чорнобильської катастрофи, </w:t>
            </w:r>
            <w:r w:rsidRPr="00EA262A">
              <w:rPr>
                <w:rStyle w:val="rvts0"/>
                <w:sz w:val="18"/>
                <w:szCs w:val="18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EA262A">
              <w:rPr>
                <w:color w:val="000000"/>
                <w:sz w:val="18"/>
                <w:szCs w:val="18"/>
                <w:lang w:val="uk-UA"/>
              </w:rPr>
              <w:t>та щорічної допомоги на оздоровлення);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bookmarkStart w:id="2" w:name="n50"/>
            <w:bookmarkStart w:id="3" w:name="n49"/>
            <w:bookmarkEnd w:id="2"/>
            <w:bookmarkEnd w:id="3"/>
            <w:r w:rsidRPr="00EA262A">
              <w:rPr>
                <w:sz w:val="18"/>
                <w:szCs w:val="18"/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EA262A">
              <w:rPr>
                <w:sz w:val="18"/>
                <w:szCs w:val="18"/>
                <w:lang w:val="uk-UA"/>
              </w:rPr>
              <w:t>проїзний квиток (для відшкодування вартості проїзду).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 xml:space="preserve">Для призначення та виплати компенсацій та допомоги 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особам, які є </w:t>
            </w: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>учасниками ліквідації наслідків аварії  ЧАЕС, учасниками ліквідації ядерних аварій,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 потерпілими від Чорнобильської катастрофи, потерпілими від радіаційного опромінення, віднесеним до категорій 2: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заява;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копія паспорта;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 xml:space="preserve">копія посвідчення особи, яка постраждала внаслідок Чорнобильської катастрофи, </w:t>
            </w:r>
            <w:r w:rsidRPr="00EA262A">
              <w:rPr>
                <w:color w:val="000000"/>
                <w:sz w:val="18"/>
                <w:szCs w:val="18"/>
                <w:lang w:val="uk-UA"/>
              </w:rPr>
              <w:lastRenderedPageBreak/>
              <w:t>категорії 2 (посвідчення серії А, Б, Я);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EA262A">
              <w:rPr>
                <w:sz w:val="18"/>
                <w:szCs w:val="18"/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EA262A">
              <w:rPr>
                <w:sz w:val="18"/>
                <w:szCs w:val="18"/>
                <w:lang w:val="uk-UA"/>
              </w:rPr>
              <w:t>проїзний квиток (для відшкодування вартості проїзду).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 xml:space="preserve">Для призначення та виплати компенсацій та допомоги 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особам, які є </w:t>
            </w: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>учасниками ліквідації наслідків аварії  ЧАЕС, учасниками ліквідації ядерних аварій,</w:t>
            </w:r>
            <w:r w:rsidRPr="00EA262A">
              <w:rPr>
                <w:i/>
                <w:sz w:val="18"/>
                <w:szCs w:val="18"/>
                <w:lang w:val="uk-UA"/>
              </w:rPr>
              <w:t xml:space="preserve"> потерпілими від Чорнобильської катастрофи, потерпілими від радіаційного опромінення, віднесеним до категорій 3: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заява;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копія паспорта;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копія посвідчення особи, яка постраждала внаслідок Чорнобильської катастрофи, з числа учасників ліквідації наслідків аварії на Чорнобильській АЕС, категорії 3 (посвідчення серії А, Б, Я);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EA262A">
              <w:rPr>
                <w:sz w:val="18"/>
                <w:szCs w:val="18"/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EA262A">
              <w:rPr>
                <w:i/>
                <w:color w:val="000000"/>
                <w:sz w:val="18"/>
                <w:szCs w:val="18"/>
                <w:lang w:val="uk-UA"/>
              </w:rPr>
              <w:t xml:space="preserve">Для призначення та виплати компенсацій та допомоги дітям, </w:t>
            </w:r>
            <w:r w:rsidRPr="00EA262A">
              <w:rPr>
                <w:i/>
                <w:sz w:val="18"/>
                <w:szCs w:val="18"/>
                <w:lang w:val="uk-UA"/>
              </w:rPr>
              <w:t>потерпілим від Чорнобильської катастрофи, дітям з інвалідністю внаслідок Чорнобильської катастрофи та їх батькам: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заява;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hanging="11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4" w:name="n39"/>
            <w:bookmarkEnd w:id="4"/>
            <w:r w:rsidRPr="00EA262A">
              <w:rPr>
                <w:color w:val="000000"/>
                <w:sz w:val="18"/>
                <w:szCs w:val="18"/>
                <w:lang w:val="uk-UA"/>
              </w:rPr>
              <w:t>копія свідоцтва про народження;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5" w:name="n40"/>
            <w:bookmarkEnd w:id="5"/>
            <w:r w:rsidRPr="00EA262A">
              <w:rPr>
                <w:color w:val="000000"/>
                <w:sz w:val="18"/>
                <w:szCs w:val="18"/>
                <w:lang w:val="uk-UA"/>
              </w:rPr>
              <w:t xml:space="preserve">копія посвідчення </w:t>
            </w:r>
            <w:r w:rsidRPr="00EA262A">
              <w:rPr>
                <w:sz w:val="18"/>
                <w:szCs w:val="18"/>
                <w:lang w:val="uk-UA"/>
              </w:rPr>
              <w:t>дитини, яка потерпіла від Чорнобильської катастрофи (вкладка до посвідчення для дітей, яким встановлено інвалідність пов’язану з наслідками Чорнобильської катастрофи);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6" w:name="n41"/>
            <w:bookmarkEnd w:id="6"/>
            <w:r w:rsidRPr="00EA262A">
              <w:rPr>
                <w:color w:val="000000"/>
                <w:sz w:val="18"/>
                <w:szCs w:val="18"/>
                <w:lang w:val="uk-UA"/>
              </w:rPr>
              <w:t>копія паспорта батька та / або матері;</w:t>
            </w:r>
          </w:p>
          <w:p w:rsidR="00EA262A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bookmarkStart w:id="7" w:name="n43"/>
            <w:bookmarkStart w:id="8" w:name="n42"/>
            <w:bookmarkEnd w:id="7"/>
            <w:bookmarkEnd w:id="8"/>
            <w:r w:rsidRPr="00EA262A">
              <w:rPr>
                <w:color w:val="000000"/>
                <w:sz w:val="18"/>
                <w:szCs w:val="18"/>
                <w:lang w:val="uk-UA"/>
              </w:rPr>
              <w:t>копія посвідчення особи, яка постраждала внаслідок Чорнобильської катастрофи, що підтверджує статус батька та / або матері, віднесених до категорій 1, 2 та 3, що має право на пільги відповідно до законодавства (за наявності);</w:t>
            </w:r>
          </w:p>
          <w:p w:rsidR="00235293" w:rsidRPr="00EA262A" w:rsidRDefault="00EA262A" w:rsidP="00EA262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EA262A">
              <w:rPr>
                <w:color w:val="000000"/>
                <w:sz w:val="18"/>
                <w:szCs w:val="18"/>
                <w:lang w:val="uk-UA"/>
              </w:rPr>
              <w:t>копія довідки про присвоєння батьку та / або матері (для дітей з неповних сімей)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9" w:name="n44"/>
            <w:bookmarkEnd w:id="9"/>
            <w:r w:rsidRPr="00EA262A">
              <w:rPr>
                <w:color w:val="000000"/>
                <w:sz w:val="18"/>
                <w:szCs w:val="18"/>
                <w:lang w:val="uk-UA"/>
              </w:rPr>
              <w:t>.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3C" w:rsidRPr="00C41027" w:rsidRDefault="00C41027" w:rsidP="00C41027">
            <w:pPr>
              <w:pStyle w:val="Default"/>
              <w:spacing w:line="256" w:lineRule="auto"/>
              <w:jc w:val="both"/>
            </w:pPr>
            <w:r>
              <w:rPr>
                <w:sz w:val="18"/>
                <w:szCs w:val="18"/>
              </w:rPr>
              <w:t xml:space="preserve">Заява з доданими документами надається </w:t>
            </w:r>
            <w:r w:rsidRPr="00C41027">
              <w:rPr>
                <w:sz w:val="18"/>
                <w:szCs w:val="18"/>
              </w:rPr>
              <w:t xml:space="preserve">заявником особисто </w:t>
            </w:r>
            <w:r>
              <w:rPr>
                <w:sz w:val="18"/>
                <w:szCs w:val="18"/>
              </w:rPr>
              <w:t>чи уповноваженою ним особою або надсилається поштою цінним листом з описом вкладення та повідомленням про вручення.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2474A8" w:rsidTr="008322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8" w:rsidRPr="00792995" w:rsidRDefault="002474A8">
            <w:pPr>
              <w:rPr>
                <w:rStyle w:val="a3"/>
                <w:color w:val="auto"/>
                <w:sz w:val="18"/>
                <w:szCs w:val="18"/>
                <w:lang w:val="uk-UA"/>
              </w:rPr>
            </w:pPr>
            <w:r w:rsidRPr="00792995">
              <w:rPr>
                <w:rStyle w:val="a3"/>
                <w:color w:val="auto"/>
                <w:sz w:val="18"/>
                <w:szCs w:val="18"/>
                <w:lang w:val="uk-UA"/>
              </w:rPr>
              <w:t>Не пізніше 10 днів після надходження заяви зі всіма необхідними документами</w:t>
            </w:r>
          </w:p>
          <w:p w:rsidR="002474A8" w:rsidRPr="00455A30" w:rsidRDefault="002474A8">
            <w:pPr>
              <w:jc w:val="both"/>
              <w:rPr>
                <w:lang w:val="uk-UA"/>
              </w:rPr>
            </w:pPr>
          </w:p>
        </w:tc>
      </w:tr>
      <w:tr w:rsidR="002474A8" w:rsidRPr="002D3A5B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B" w:rsidRPr="002D3A5B" w:rsidRDefault="002D3A5B" w:rsidP="002D3A5B">
            <w:pPr>
              <w:spacing w:line="256" w:lineRule="auto"/>
              <w:jc w:val="both"/>
              <w:rPr>
                <w:sz w:val="18"/>
                <w:szCs w:val="18"/>
                <w:lang w:val="uk-UA"/>
              </w:rPr>
            </w:pPr>
            <w:r w:rsidRPr="002D3A5B">
              <w:rPr>
                <w:sz w:val="18"/>
                <w:szCs w:val="18"/>
                <w:lang w:val="uk-UA"/>
              </w:rPr>
              <w:t>Подання встановленого переліку документів не в повному обсязі;</w:t>
            </w:r>
          </w:p>
          <w:p w:rsidR="002D3A5B" w:rsidRPr="002D3A5B" w:rsidRDefault="002D3A5B" w:rsidP="002D3A5B">
            <w:pPr>
              <w:spacing w:line="256" w:lineRule="auto"/>
              <w:jc w:val="both"/>
              <w:rPr>
                <w:sz w:val="18"/>
                <w:szCs w:val="18"/>
                <w:lang w:val="uk-UA"/>
              </w:rPr>
            </w:pPr>
            <w:r w:rsidRPr="002D3A5B">
              <w:rPr>
                <w:sz w:val="18"/>
                <w:szCs w:val="18"/>
                <w:lang w:val="uk-UA"/>
              </w:rPr>
              <w:lastRenderedPageBreak/>
              <w:t>зміна місця реєстрації;</w:t>
            </w:r>
          </w:p>
          <w:p w:rsidR="002474A8" w:rsidRPr="00455A30" w:rsidRDefault="002D3A5B" w:rsidP="00455A30">
            <w:pPr>
              <w:tabs>
                <w:tab w:val="left" w:pos="263"/>
              </w:tabs>
              <w:spacing w:after="27"/>
              <w:jc w:val="both"/>
              <w:rPr>
                <w:sz w:val="18"/>
                <w:szCs w:val="18"/>
                <w:lang w:val="uk-UA"/>
              </w:rPr>
            </w:pPr>
            <w:r w:rsidRPr="002D3A5B">
              <w:rPr>
                <w:sz w:val="18"/>
                <w:szCs w:val="18"/>
                <w:lang w:val="uk-UA"/>
              </w:rPr>
              <w:t xml:space="preserve">втрата статусу осіб з числа </w:t>
            </w:r>
            <w:r w:rsidRPr="002D3A5B">
              <w:rPr>
                <w:color w:val="000000"/>
                <w:sz w:val="18"/>
                <w:szCs w:val="18"/>
                <w:lang w:val="uk-UA"/>
              </w:rPr>
              <w:t>учасників ліквідації наслідків аварії на Чорнобильській АЕС, учасників ліквідації ядерних аварій,</w:t>
            </w:r>
            <w:r w:rsidRPr="002D3A5B">
              <w:rPr>
                <w:sz w:val="18"/>
                <w:szCs w:val="18"/>
                <w:lang w:val="uk-UA"/>
              </w:rPr>
              <w:t xml:space="preserve"> потерпілих від Чорнобильської катастрофи, потерпілих від радіаційного опромінення,</w:t>
            </w:r>
            <w:r w:rsidR="005325CF">
              <w:rPr>
                <w:sz w:val="18"/>
                <w:szCs w:val="18"/>
                <w:lang w:val="uk-UA"/>
              </w:rPr>
              <w:t xml:space="preserve"> віднесених до категорій 1, 2</w:t>
            </w:r>
            <w:r w:rsidRPr="002D3A5B">
              <w:rPr>
                <w:sz w:val="18"/>
                <w:szCs w:val="18"/>
                <w:lang w:val="uk-UA"/>
              </w:rPr>
              <w:t>; статусу дитини, потерпілої від Чорнобильської катастрофи, дитини з інвалідністю внаслідок Чорнобильської катастрофи</w:t>
            </w:r>
            <w:r w:rsidR="002474A8" w:rsidRPr="002D3A5B">
              <w:rPr>
                <w:sz w:val="18"/>
                <w:szCs w:val="18"/>
                <w:lang w:val="uk-UA"/>
              </w:rPr>
              <w:t xml:space="preserve">  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Pr="00455A30" w:rsidRDefault="002474A8" w:rsidP="00455A30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 w:eastAsia="uk-UA"/>
              </w:rPr>
            </w:pPr>
            <w:proofErr w:type="spellStart"/>
            <w:r w:rsidRPr="008C50B2">
              <w:rPr>
                <w:sz w:val="18"/>
                <w:szCs w:val="18"/>
              </w:rPr>
              <w:t>Призначення</w:t>
            </w:r>
            <w:proofErr w:type="spellEnd"/>
            <w:r w:rsidRPr="008C50B2">
              <w:rPr>
                <w:sz w:val="18"/>
                <w:szCs w:val="18"/>
              </w:rPr>
              <w:t xml:space="preserve"> </w:t>
            </w:r>
            <w:r w:rsidRPr="008C50B2">
              <w:rPr>
                <w:sz w:val="18"/>
                <w:szCs w:val="18"/>
                <w:lang w:val="uk-UA"/>
              </w:rPr>
              <w:t>та виплати/ відмова в призначенні компенсацій та допомоги</w:t>
            </w:r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Pr="00D40603" w:rsidRDefault="002474A8">
            <w:pPr>
              <w:jc w:val="both"/>
              <w:rPr>
                <w:sz w:val="18"/>
                <w:szCs w:val="18"/>
                <w:lang w:val="uk-UA"/>
              </w:rPr>
            </w:pPr>
            <w:bookmarkStart w:id="10" w:name="_GoBack"/>
            <w:r w:rsidRPr="00D40603">
              <w:rPr>
                <w:sz w:val="18"/>
                <w:szCs w:val="18"/>
                <w:lang w:val="uk-UA"/>
              </w:rPr>
              <w:t>Повідомлення про призначення компенсацій та допомоги (відмова у призначенні) видається (надсилається поштою) одержувачу, про що робиться відповідний запис у журналі видачі довідок та повідомлень.</w:t>
            </w:r>
          </w:p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 w:rsidRPr="00D40603">
              <w:rPr>
                <w:sz w:val="18"/>
                <w:szCs w:val="18"/>
                <w:lang w:val="uk-UA"/>
              </w:rPr>
              <w:t>Виплата компенсацій та допомоги можна отримати через банківські установи або поштові відділення зв’язку</w:t>
            </w:r>
            <w:bookmarkEnd w:id="10"/>
          </w:p>
        </w:tc>
      </w:tr>
      <w:tr w:rsidR="002474A8" w:rsidTr="008322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8" w:rsidRDefault="002474A8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8322EA" w:rsidRDefault="008322EA" w:rsidP="008322EA">
      <w:pPr>
        <w:jc w:val="center"/>
        <w:rPr>
          <w:sz w:val="18"/>
          <w:szCs w:val="18"/>
          <w:lang w:val="uk-UA"/>
        </w:rPr>
      </w:pPr>
    </w:p>
    <w:p w:rsidR="008322EA" w:rsidRDefault="008322EA" w:rsidP="008322EA">
      <w:pPr>
        <w:rPr>
          <w:sz w:val="18"/>
          <w:szCs w:val="18"/>
          <w:lang w:val="uk-UA"/>
        </w:rPr>
      </w:pPr>
    </w:p>
    <w:p w:rsidR="00B30EFD" w:rsidRDefault="00B30EFD"/>
    <w:sectPr w:rsidR="00B3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A"/>
    <w:rsid w:val="00025C3C"/>
    <w:rsid w:val="00101D98"/>
    <w:rsid w:val="00235293"/>
    <w:rsid w:val="002474A8"/>
    <w:rsid w:val="002D3A5B"/>
    <w:rsid w:val="00452B5B"/>
    <w:rsid w:val="00455A30"/>
    <w:rsid w:val="005325CF"/>
    <w:rsid w:val="00686A9A"/>
    <w:rsid w:val="00690C0D"/>
    <w:rsid w:val="006F3DF8"/>
    <w:rsid w:val="00792995"/>
    <w:rsid w:val="008124B9"/>
    <w:rsid w:val="008322EA"/>
    <w:rsid w:val="008C50B2"/>
    <w:rsid w:val="00956907"/>
    <w:rsid w:val="009D518B"/>
    <w:rsid w:val="009D5F22"/>
    <w:rsid w:val="00B30EFD"/>
    <w:rsid w:val="00BF0BC7"/>
    <w:rsid w:val="00C41027"/>
    <w:rsid w:val="00D139A3"/>
    <w:rsid w:val="00D40603"/>
    <w:rsid w:val="00E16926"/>
    <w:rsid w:val="00E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2EA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8322EA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8322E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rsid w:val="008322EA"/>
  </w:style>
  <w:style w:type="paragraph" w:styleId="a6">
    <w:name w:val="No Spacing"/>
    <w:uiPriority w:val="1"/>
    <w:qFormat/>
    <w:rsid w:val="00690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23">
    <w:name w:val="rvts23"/>
    <w:basedOn w:val="a0"/>
    <w:rsid w:val="00686A9A"/>
  </w:style>
  <w:style w:type="character" w:customStyle="1" w:styleId="apple-converted-space">
    <w:name w:val="apple-converted-space"/>
    <w:basedOn w:val="a0"/>
    <w:rsid w:val="008124B9"/>
  </w:style>
  <w:style w:type="paragraph" w:customStyle="1" w:styleId="rvps2">
    <w:name w:val="rvps2"/>
    <w:basedOn w:val="a"/>
    <w:rsid w:val="00EA262A"/>
    <w:pPr>
      <w:spacing w:before="100" w:beforeAutospacing="1" w:after="100" w:afterAutospacing="1"/>
    </w:pPr>
  </w:style>
  <w:style w:type="paragraph" w:customStyle="1" w:styleId="Default">
    <w:name w:val="Default"/>
    <w:rsid w:val="00C4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2EA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8322EA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8322E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rsid w:val="008322EA"/>
  </w:style>
  <w:style w:type="paragraph" w:styleId="a6">
    <w:name w:val="No Spacing"/>
    <w:uiPriority w:val="1"/>
    <w:qFormat/>
    <w:rsid w:val="00690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23">
    <w:name w:val="rvts23"/>
    <w:basedOn w:val="a0"/>
    <w:rsid w:val="00686A9A"/>
  </w:style>
  <w:style w:type="character" w:customStyle="1" w:styleId="apple-converted-space">
    <w:name w:val="apple-converted-space"/>
    <w:basedOn w:val="a0"/>
    <w:rsid w:val="008124B9"/>
  </w:style>
  <w:style w:type="paragraph" w:customStyle="1" w:styleId="rvps2">
    <w:name w:val="rvps2"/>
    <w:basedOn w:val="a"/>
    <w:rsid w:val="00EA262A"/>
    <w:pPr>
      <w:spacing w:before="100" w:beforeAutospacing="1" w:after="100" w:afterAutospacing="1"/>
    </w:pPr>
  </w:style>
  <w:style w:type="paragraph" w:customStyle="1" w:styleId="Default">
    <w:name w:val="Default"/>
    <w:rsid w:val="00C4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562-2005-%D0%BF" TargetMode="External"/><Relationship Id="rId5" Type="http://schemas.openxmlformats.org/officeDocument/2006/relationships/hyperlink" Target="http://zakon2.rada.gov.ua/laws/show/258-9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2021-02-03T13:57:00Z</dcterms:created>
  <dcterms:modified xsi:type="dcterms:W3CDTF">2021-02-05T09:24:00Z</dcterms:modified>
</cp:coreProperties>
</file>