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6C" w:rsidRPr="00E3336C" w:rsidRDefault="00E31894" w:rsidP="002034B2">
      <w:pPr>
        <w:spacing w:line="240" w:lineRule="auto"/>
        <w:rPr>
          <w:rFonts w:ascii="Times New Roman" w:eastAsia="Antiqua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Antiqua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FC6BE5" w:rsidRPr="00E3336C">
        <w:rPr>
          <w:rFonts w:ascii="Times New Roman" w:eastAsia="Antiqua" w:hAnsi="Times New Roman" w:cs="Times New Roman"/>
          <w:sz w:val="28"/>
          <w:szCs w:val="28"/>
          <w:lang w:val="uk-UA"/>
        </w:rPr>
        <w:t xml:space="preserve">    </w:t>
      </w:r>
    </w:p>
    <w:tbl>
      <w:tblPr>
        <w:tblStyle w:val="a8"/>
        <w:tblW w:w="0" w:type="auto"/>
        <w:tblInd w:w="5778" w:type="dxa"/>
        <w:tblLook w:val="04A0"/>
      </w:tblPr>
      <w:tblGrid>
        <w:gridCol w:w="4079"/>
      </w:tblGrid>
      <w:tr w:rsidR="00E3336C" w:rsidRPr="00E3336C" w:rsidTr="00EA1FA5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:rsidR="00E3336C" w:rsidRPr="00E048FC" w:rsidRDefault="00E3336C" w:rsidP="00E3336C">
            <w:pPr>
              <w:spacing w:line="360" w:lineRule="auto"/>
              <w:rPr>
                <w:rFonts w:ascii="Times New Roman" w:eastAsia="Antiqua" w:hAnsi="Times New Roman" w:cs="Times New Roman"/>
                <w:sz w:val="28"/>
                <w:szCs w:val="28"/>
                <w:lang w:val="uk-UA"/>
              </w:rPr>
            </w:pPr>
            <w:r w:rsidRPr="00E048FC">
              <w:rPr>
                <w:rFonts w:ascii="Times New Roman" w:eastAsia="Antiqua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:rsidR="00E048FC" w:rsidRDefault="00E3336C" w:rsidP="00E3336C">
            <w:pPr>
              <w:rPr>
                <w:rFonts w:ascii="Times New Roman" w:eastAsia="Antiqua" w:hAnsi="Times New Roman" w:cs="Times New Roman"/>
                <w:sz w:val="28"/>
                <w:szCs w:val="28"/>
                <w:lang w:val="uk-UA"/>
              </w:rPr>
            </w:pPr>
            <w:r w:rsidRPr="00E048FC">
              <w:rPr>
                <w:rFonts w:ascii="Times New Roman" w:eastAsia="Antiqua" w:hAnsi="Times New Roman" w:cs="Times New Roman"/>
                <w:sz w:val="28"/>
                <w:szCs w:val="28"/>
                <w:lang w:val="uk-UA"/>
              </w:rPr>
              <w:t xml:space="preserve">Рішення Березанської міської ради </w:t>
            </w:r>
          </w:p>
          <w:p w:rsidR="00E3336C" w:rsidRPr="00E3336C" w:rsidRDefault="00E3336C" w:rsidP="00E3336C">
            <w:pPr>
              <w:rPr>
                <w:rFonts w:ascii="Times New Roman" w:eastAsia="Antiqua" w:hAnsi="Times New Roman" w:cs="Times New Roman"/>
                <w:sz w:val="28"/>
                <w:szCs w:val="28"/>
                <w:lang w:val="uk-UA"/>
              </w:rPr>
            </w:pPr>
            <w:r w:rsidRPr="00E048FC">
              <w:rPr>
                <w:rFonts w:ascii="Times New Roman" w:eastAsia="Antiqua" w:hAnsi="Times New Roman" w:cs="Times New Roman"/>
                <w:sz w:val="28"/>
                <w:szCs w:val="28"/>
                <w:lang w:val="uk-UA"/>
              </w:rPr>
              <w:t>23.12. 2021 № 358 – 31– VIII</w:t>
            </w:r>
          </w:p>
        </w:tc>
      </w:tr>
    </w:tbl>
    <w:p w:rsidR="002034B2" w:rsidRPr="00E3336C" w:rsidRDefault="00FC6BE5" w:rsidP="002034B2">
      <w:pPr>
        <w:spacing w:line="240" w:lineRule="auto"/>
        <w:rPr>
          <w:rFonts w:ascii="Times New Roman" w:eastAsia="Antiqua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Antiqua" w:hAnsi="Times New Roman" w:cs="Times New Roman"/>
          <w:sz w:val="28"/>
          <w:szCs w:val="28"/>
          <w:lang w:val="uk-UA"/>
        </w:rPr>
        <w:t xml:space="preserve">                         </w:t>
      </w:r>
    </w:p>
    <w:p w:rsidR="00E3336C" w:rsidRPr="00E3336C" w:rsidRDefault="002034B2" w:rsidP="00E3336C">
      <w:pPr>
        <w:tabs>
          <w:tab w:val="left" w:pos="5670"/>
        </w:tabs>
        <w:spacing w:line="240" w:lineRule="auto"/>
        <w:rPr>
          <w:rFonts w:ascii="Times New Roman" w:eastAsia="Antiqua" w:hAnsi="Times New Roman" w:cs="Times New Roman"/>
          <w:sz w:val="24"/>
          <w:szCs w:val="24"/>
          <w:lang w:val="uk-UA"/>
        </w:rPr>
      </w:pPr>
      <w:r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FC6BE5"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        </w:t>
      </w:r>
    </w:p>
    <w:p w:rsidR="00EB08DE" w:rsidRPr="00E3336C" w:rsidRDefault="00FC6BE5" w:rsidP="002034B2">
      <w:pPr>
        <w:spacing w:line="240" w:lineRule="auto"/>
        <w:rPr>
          <w:rFonts w:ascii="Times New Roman" w:eastAsia="Antiqua" w:hAnsi="Times New Roman" w:cs="Times New Roman"/>
          <w:sz w:val="24"/>
          <w:szCs w:val="24"/>
          <w:lang w:val="uk-UA"/>
        </w:rPr>
      </w:pPr>
      <w:r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</w:t>
      </w:r>
    </w:p>
    <w:p w:rsidR="00E3336C" w:rsidRPr="00E3336C" w:rsidRDefault="00E3336C" w:rsidP="00E3336C">
      <w:pPr>
        <w:spacing w:line="360" w:lineRule="auto"/>
        <w:rPr>
          <w:rFonts w:ascii="Times New Roman" w:eastAsia="Antiqua" w:hAnsi="Times New Roman" w:cs="Times New Roman"/>
          <w:sz w:val="24"/>
          <w:szCs w:val="24"/>
          <w:lang w:val="uk-UA"/>
        </w:rPr>
      </w:pPr>
    </w:p>
    <w:p w:rsidR="00FC6BE5" w:rsidRPr="00E3336C" w:rsidRDefault="002034B2" w:rsidP="002034B2">
      <w:pPr>
        <w:spacing w:line="240" w:lineRule="auto"/>
        <w:rPr>
          <w:rFonts w:ascii="Times New Roman" w:eastAsia="Antiqua" w:hAnsi="Times New Roman" w:cs="Times New Roman"/>
          <w:sz w:val="24"/>
          <w:szCs w:val="24"/>
          <w:lang w:val="uk-UA"/>
        </w:rPr>
      </w:pPr>
      <w:r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                                                                           </w:t>
      </w:r>
      <w:r w:rsidR="00FC6BE5"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   </w:t>
      </w:r>
      <w:r w:rsidR="00EB08DE"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           </w:t>
      </w:r>
    </w:p>
    <w:p w:rsidR="00FC6BE5" w:rsidRPr="00E3336C" w:rsidRDefault="00FC6BE5" w:rsidP="002034B2">
      <w:pPr>
        <w:spacing w:line="240" w:lineRule="auto"/>
        <w:rPr>
          <w:rFonts w:ascii="Times New Roman" w:eastAsia="Antiqua" w:hAnsi="Times New Roman" w:cs="Times New Roman"/>
          <w:sz w:val="24"/>
          <w:szCs w:val="24"/>
          <w:lang w:val="uk-UA"/>
        </w:rPr>
      </w:pPr>
      <w:r w:rsidRPr="00E3336C">
        <w:rPr>
          <w:rFonts w:ascii="Times New Roman" w:eastAsia="Antiqua" w:hAnsi="Times New Roman" w:cs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p w:rsidR="002034B2" w:rsidRPr="00E3336C" w:rsidRDefault="002034B2" w:rsidP="002034B2">
      <w:pPr>
        <w:spacing w:line="240" w:lineRule="auto"/>
        <w:rPr>
          <w:rFonts w:ascii="Times New Roman" w:eastAsia="Antiqua" w:hAnsi="Times New Roman" w:cs="Times New Roman"/>
          <w:sz w:val="28"/>
          <w:szCs w:val="28"/>
          <w:lang w:val="uk-UA"/>
        </w:rPr>
      </w:pPr>
    </w:p>
    <w:p w:rsidR="002034B2" w:rsidRPr="00E3336C" w:rsidRDefault="002034B2" w:rsidP="002034B2">
      <w:pPr>
        <w:spacing w:line="240" w:lineRule="auto"/>
        <w:rPr>
          <w:rFonts w:ascii="Times New Roman" w:eastAsia="Antiqua" w:hAnsi="Times New Roman" w:cs="Times New Roman"/>
          <w:sz w:val="28"/>
          <w:szCs w:val="28"/>
          <w:lang w:val="uk-UA"/>
        </w:rPr>
      </w:pPr>
    </w:p>
    <w:p w:rsidR="002034B2" w:rsidRPr="00E3336C" w:rsidRDefault="002034B2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034B2" w:rsidRPr="00E3336C" w:rsidRDefault="002034B2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034B2" w:rsidRPr="00E3336C" w:rsidRDefault="002034B2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034B2" w:rsidRPr="00E3336C" w:rsidRDefault="002034B2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034B2" w:rsidRPr="00E3336C" w:rsidRDefault="002034B2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25A20" w:rsidRDefault="00E3336C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:rsidR="002034B2" w:rsidRPr="00E3336C" w:rsidRDefault="002034B2" w:rsidP="002034B2">
      <w:pPr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750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розвитку</w:t>
      </w: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молодіжної політики </w:t>
      </w:r>
    </w:p>
    <w:p w:rsidR="002034B2" w:rsidRPr="00E3336C" w:rsidRDefault="00E31894" w:rsidP="002034B2">
      <w:pPr>
        <w:spacing w:line="300" w:lineRule="auto"/>
        <w:jc w:val="center"/>
        <w:rPr>
          <w:rFonts w:ascii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2022 -2025</w:t>
      </w:r>
      <w:r w:rsidR="002034B2"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2034B2" w:rsidRDefault="002034B2" w:rsidP="002034B2">
      <w:pPr>
        <w:shd w:val="clear" w:color="auto" w:fill="FFFFFF"/>
        <w:spacing w:after="260"/>
        <w:jc w:val="center"/>
        <w:rPr>
          <w:rFonts w:ascii="Times New Roman" w:hAnsi="Times New Roman" w:cs="Times New Roman"/>
          <w:color w:val="444444"/>
          <w:sz w:val="28"/>
          <w:szCs w:val="28"/>
          <w:u w:val="single"/>
          <w:lang w:val="uk-UA"/>
        </w:rPr>
      </w:pPr>
    </w:p>
    <w:p w:rsidR="00B15A83" w:rsidRDefault="00B15A83" w:rsidP="002034B2">
      <w:pPr>
        <w:shd w:val="clear" w:color="auto" w:fill="FFFFFF"/>
        <w:spacing w:after="260"/>
        <w:jc w:val="center"/>
        <w:rPr>
          <w:rFonts w:ascii="Times New Roman" w:hAnsi="Times New Roman" w:cs="Times New Roman"/>
          <w:color w:val="444444"/>
          <w:sz w:val="28"/>
          <w:szCs w:val="28"/>
          <w:u w:val="single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1894" w:rsidRPr="00E3336C" w:rsidRDefault="00E31894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3336C" w:rsidRPr="00843D74" w:rsidRDefault="00E31894" w:rsidP="00E3336C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FC">
        <w:rPr>
          <w:rFonts w:ascii="Times New Roman" w:eastAsia="Times New Roman" w:hAnsi="Times New Roman" w:cs="Times New Roman"/>
          <w:sz w:val="28"/>
          <w:szCs w:val="28"/>
          <w:lang w:val="uk-UA"/>
        </w:rPr>
        <w:t>м.</w:t>
      </w:r>
      <w:r w:rsidR="00FC6BE5" w:rsidRPr="00E048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048FC">
        <w:rPr>
          <w:rFonts w:ascii="Times New Roman" w:eastAsia="Times New Roman" w:hAnsi="Times New Roman" w:cs="Times New Roman"/>
          <w:sz w:val="28"/>
          <w:szCs w:val="28"/>
          <w:lang w:val="uk-UA"/>
        </w:rPr>
        <w:t>Березань</w:t>
      </w:r>
    </w:p>
    <w:p w:rsidR="00E31894" w:rsidRPr="00843D74" w:rsidRDefault="002A683C" w:rsidP="00E3336C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48FC">
        <w:rPr>
          <w:rFonts w:ascii="Times New Roman" w:eastAsia="Times New Roman" w:hAnsi="Times New Roman" w:cs="Times New Roman"/>
          <w:sz w:val="28"/>
          <w:szCs w:val="28"/>
          <w:lang w:val="uk-UA"/>
        </w:rPr>
        <w:t>2021</w:t>
      </w:r>
      <w:r w:rsidR="00E3336C" w:rsidRPr="00843D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36C" w:rsidRPr="00E048FC">
        <w:rPr>
          <w:rFonts w:ascii="Times New Roman" w:eastAsia="Times New Roman" w:hAnsi="Times New Roman" w:cs="Times New Roman"/>
          <w:sz w:val="28"/>
          <w:szCs w:val="28"/>
          <w:lang w:val="uk-UA"/>
        </w:rPr>
        <w:t>рік</w:t>
      </w:r>
    </w:p>
    <w:p w:rsidR="002034B2" w:rsidRPr="00E3336C" w:rsidRDefault="002034B2" w:rsidP="002034B2">
      <w:pPr>
        <w:widowControl w:val="0"/>
        <w:spacing w:line="30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2034B2" w:rsidRPr="00E3336C" w:rsidRDefault="002034B2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ЗМІСТ</w:t>
      </w:r>
    </w:p>
    <w:p w:rsidR="002034B2" w:rsidRPr="00E3336C" w:rsidRDefault="002034B2" w:rsidP="002034B2">
      <w:pPr>
        <w:widowControl w:val="0"/>
        <w:spacing w:line="300" w:lineRule="auto"/>
        <w:ind w:left="737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</w:p>
    <w:p w:rsidR="002034B2" w:rsidRPr="00E3336C" w:rsidRDefault="002034B2" w:rsidP="002034B2">
      <w:pPr>
        <w:widowControl w:val="0"/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стор.</w:t>
      </w:r>
    </w:p>
    <w:p w:rsidR="002034B2" w:rsidRPr="00E3336C" w:rsidRDefault="002034B2" w:rsidP="002034B2">
      <w:pPr>
        <w:widowControl w:val="0"/>
        <w:spacing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4"/>
        <w:tblW w:w="10095" w:type="dxa"/>
        <w:tblLayout w:type="fixed"/>
        <w:tblLook w:val="0400"/>
      </w:tblPr>
      <w:tblGrid>
        <w:gridCol w:w="8217"/>
        <w:gridCol w:w="1878"/>
      </w:tblGrid>
      <w:tr w:rsidR="002034B2" w:rsidRPr="00E3336C" w:rsidTr="002034B2">
        <w:tc>
          <w:tcPr>
            <w:tcW w:w="8222" w:type="dxa"/>
            <w:hideMark/>
          </w:tcPr>
          <w:p w:rsidR="002034B2" w:rsidRPr="00E3336C" w:rsidRDefault="002034B2">
            <w:pPr>
              <w:widowControl w:val="0"/>
              <w:tabs>
                <w:tab w:val="left" w:pos="7080"/>
              </w:tabs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 Паспорт програми </w:t>
            </w:r>
          </w:p>
          <w:p w:rsidR="002034B2" w:rsidRPr="00E3336C" w:rsidRDefault="002034B2">
            <w:pPr>
              <w:widowControl w:val="0"/>
              <w:tabs>
                <w:tab w:val="left" w:pos="7080"/>
              </w:tabs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</w:tc>
        <w:tc>
          <w:tcPr>
            <w:tcW w:w="1879" w:type="dxa"/>
            <w:hideMark/>
          </w:tcPr>
          <w:p w:rsidR="002034B2" w:rsidRPr="00E3336C" w:rsidRDefault="002034B2">
            <w:pPr>
              <w:widowControl w:val="0"/>
              <w:spacing w:line="300" w:lineRule="auto"/>
              <w:ind w:left="-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3</w:t>
            </w:r>
          </w:p>
        </w:tc>
      </w:tr>
      <w:tr w:rsidR="002034B2" w:rsidRPr="00E3336C" w:rsidTr="002034B2">
        <w:trPr>
          <w:trHeight w:val="1087"/>
        </w:trPr>
        <w:tc>
          <w:tcPr>
            <w:tcW w:w="8222" w:type="dxa"/>
            <w:hideMark/>
          </w:tcPr>
          <w:p w:rsidR="002034B2" w:rsidRPr="00E3336C" w:rsidRDefault="00203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  Загальні положення</w:t>
            </w:r>
          </w:p>
        </w:tc>
        <w:tc>
          <w:tcPr>
            <w:tcW w:w="1879" w:type="dxa"/>
            <w:hideMark/>
          </w:tcPr>
          <w:p w:rsidR="002034B2" w:rsidRPr="00E3336C" w:rsidRDefault="00203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2034B2" w:rsidRPr="00E3336C" w:rsidTr="002034B2">
        <w:trPr>
          <w:trHeight w:val="1087"/>
        </w:trPr>
        <w:tc>
          <w:tcPr>
            <w:tcW w:w="8222" w:type="dxa"/>
          </w:tcPr>
          <w:p w:rsidR="002034B2" w:rsidRPr="00E3336C" w:rsidRDefault="002034B2">
            <w:pPr>
              <w:widowControl w:val="0"/>
              <w:spacing w:line="240" w:lineRule="auto"/>
              <w:ind w:right="-78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3.  Визначення проблеми, на розв'язання якої спрямована     </w:t>
            </w:r>
          </w:p>
          <w:p w:rsidR="002034B2" w:rsidRPr="00E3336C" w:rsidRDefault="00203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програма                                                                                  </w:t>
            </w:r>
          </w:p>
          <w:p w:rsidR="002034B2" w:rsidRPr="00E3336C" w:rsidRDefault="00203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hideMark/>
          </w:tcPr>
          <w:p w:rsidR="002034B2" w:rsidRPr="00E3336C" w:rsidRDefault="002034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 – 5</w:t>
            </w:r>
          </w:p>
        </w:tc>
      </w:tr>
      <w:tr w:rsidR="002034B2" w:rsidRPr="00E3336C" w:rsidTr="002034B2">
        <w:tc>
          <w:tcPr>
            <w:tcW w:w="8222" w:type="dxa"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  Мета Програми</w:t>
            </w: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hideMark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 </w:t>
            </w:r>
          </w:p>
        </w:tc>
      </w:tr>
      <w:tr w:rsidR="002034B2" w:rsidRPr="00E3336C" w:rsidTr="002034B2">
        <w:tc>
          <w:tcPr>
            <w:tcW w:w="8222" w:type="dxa"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  Основні Завдання Програми</w:t>
            </w: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  <w:hideMark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5 - 6</w:t>
            </w:r>
          </w:p>
        </w:tc>
      </w:tr>
      <w:tr w:rsidR="002034B2" w:rsidRPr="00E3336C" w:rsidTr="002034B2">
        <w:tc>
          <w:tcPr>
            <w:tcW w:w="8222" w:type="dxa"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  Очікувані результати виконання Програми</w:t>
            </w: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 Фінансове забезпечення Програми</w:t>
            </w:r>
          </w:p>
        </w:tc>
        <w:tc>
          <w:tcPr>
            <w:tcW w:w="1879" w:type="dxa"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6 – 7</w:t>
            </w: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8</w:t>
            </w:r>
          </w:p>
        </w:tc>
      </w:tr>
      <w:tr w:rsidR="002034B2" w:rsidRPr="00E3336C" w:rsidTr="002034B2">
        <w:tc>
          <w:tcPr>
            <w:tcW w:w="8222" w:type="dxa"/>
          </w:tcPr>
          <w:p w:rsidR="002034B2" w:rsidRPr="00E3336C" w:rsidRDefault="002034B2">
            <w:pPr>
              <w:spacing w:line="199" w:lineRule="auto"/>
              <w:ind w:left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</w:p>
          <w:p w:rsidR="002034B2" w:rsidRPr="00E3336C" w:rsidRDefault="002034B2">
            <w:pPr>
              <w:spacing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19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8.  Організація і контроль за виконанням Програми.                                 </w:t>
            </w: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  <w:r w:rsidRPr="00E333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Напрямки діяльності та заходи Програми </w:t>
            </w:r>
          </w:p>
        </w:tc>
        <w:tc>
          <w:tcPr>
            <w:tcW w:w="1879" w:type="dxa"/>
          </w:tcPr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widowControl w:val="0"/>
              <w:spacing w:line="30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9 - 1</w:t>
            </w:r>
            <w:r w:rsidR="009509C4"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2034B2" w:rsidRPr="00E3336C" w:rsidTr="002034B2">
        <w:tc>
          <w:tcPr>
            <w:tcW w:w="8222" w:type="dxa"/>
          </w:tcPr>
          <w:p w:rsidR="002034B2" w:rsidRPr="00E3336C" w:rsidRDefault="002034B2">
            <w:pPr>
              <w:widowControl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79" w:type="dxa"/>
          </w:tcPr>
          <w:p w:rsidR="002034B2" w:rsidRPr="00E3336C" w:rsidRDefault="002034B2">
            <w:pPr>
              <w:widowControl w:val="0"/>
              <w:spacing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2034B2" w:rsidRPr="00E3336C" w:rsidRDefault="002034B2" w:rsidP="002034B2">
      <w:pPr>
        <w:rPr>
          <w:rFonts w:ascii="Times New Roman" w:hAnsi="Times New Roman" w:cs="Times New Roman"/>
          <w:color w:val="444444"/>
          <w:sz w:val="26"/>
          <w:szCs w:val="26"/>
          <w:lang w:val="uk-UA"/>
        </w:rPr>
        <w:sectPr w:rsidR="002034B2" w:rsidRPr="00E3336C" w:rsidSect="00EA1FA5">
          <w:headerReference w:type="default" r:id="rId8"/>
          <w:pgSz w:w="11909" w:h="16834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2034B2" w:rsidRPr="00E3336C" w:rsidRDefault="002034B2" w:rsidP="002034B2">
      <w:pPr>
        <w:spacing w:line="278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         1. Паспорт Програми </w:t>
      </w:r>
    </w:p>
    <w:p w:rsidR="002034B2" w:rsidRPr="00E3336C" w:rsidRDefault="002034B2" w:rsidP="002034B2">
      <w:pPr>
        <w:spacing w:line="278" w:lineRule="auto"/>
        <w:ind w:left="-90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034B2" w:rsidRPr="00E3336C" w:rsidRDefault="002034B2" w:rsidP="002034B2">
      <w:pPr>
        <w:spacing w:line="27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</w:t>
      </w:r>
    </w:p>
    <w:tbl>
      <w:tblPr>
        <w:tblStyle w:val="3"/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6"/>
        <w:gridCol w:w="4396"/>
        <w:gridCol w:w="4678"/>
      </w:tblGrid>
      <w:tr w:rsidR="002034B2" w:rsidRPr="00E3336C" w:rsidTr="0020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tabs>
                <w:tab w:val="left" w:pos="8822"/>
              </w:tabs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E31894">
            <w:pPr>
              <w:tabs>
                <w:tab w:val="left" w:pos="8822"/>
              </w:tabs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 молоді та спорту виконавчого комітету Березанської міської ради</w:t>
            </w:r>
          </w:p>
          <w:p w:rsidR="002034B2" w:rsidRPr="00E3336C" w:rsidRDefault="002034B2">
            <w:pPr>
              <w:tabs>
                <w:tab w:val="left" w:pos="8822"/>
              </w:tabs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4B2" w:rsidRPr="00E3336C" w:rsidTr="0020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 w:rsidP="00E31894">
            <w:pPr>
              <w:tabs>
                <w:tab w:val="left" w:pos="8822"/>
              </w:tabs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Сектор молоді та с</w:t>
            </w:r>
            <w:r w:rsidR="00E31894"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порту виконавчого комітету Березанської міської ради</w:t>
            </w:r>
          </w:p>
        </w:tc>
      </w:tr>
      <w:tr w:rsidR="002034B2" w:rsidRPr="00C25A20" w:rsidTr="002034B2">
        <w:trPr>
          <w:trHeight w:val="256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4B2" w:rsidRPr="00E3336C" w:rsidRDefault="00E31894" w:rsidP="00FC6BE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сектор</w:t>
            </w:r>
            <w:r w:rsidR="002034B2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молоді т</w:t>
            </w:r>
            <w:r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 спорту ,відділ освіти,</w:t>
            </w:r>
            <w:r w:rsidR="002034B2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відділ культури </w:t>
            </w:r>
            <w:r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виконавчого комітету Березанської міської ради, Березанський центр зайнятості, ДНЗ</w:t>
            </w:r>
            <w:r w:rsidR="00FC6BE5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«</w:t>
            </w:r>
            <w:r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Березанський професійний аграрний ліцей»</w:t>
            </w:r>
            <w:r w:rsidR="00FC6BE5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,</w:t>
            </w:r>
            <w:r w:rsidR="002A7E3B" w:rsidRPr="00E3336C">
              <w:rPr>
                <w:rFonts w:ascii="Times New Roman" w:eastAsia="Times New Roman" w:hAnsi="Times New Roman"/>
                <w:color w:val="333333"/>
                <w:sz w:val="24"/>
                <w:szCs w:val="24"/>
                <w:lang w:val="uk-UA"/>
              </w:rPr>
              <w:t xml:space="preserve">  </w:t>
            </w:r>
            <w:r w:rsidR="002A7E3B" w:rsidRPr="00E3336C">
              <w:rPr>
                <w:rFonts w:ascii="Times New Roman" w:eastAsia="Times New Roman" w:hAnsi="Times New Roman"/>
                <w:color w:val="333333"/>
                <w:sz w:val="28"/>
                <w:szCs w:val="28"/>
                <w:lang w:val="uk-UA"/>
              </w:rPr>
              <w:t>І відділ Броварського РТЦК та СП,</w:t>
            </w:r>
            <w:r w:rsidR="002A7E3B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FC6BE5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молодіжний банк ініціатив</w:t>
            </w:r>
            <w:r w:rsidR="002034B2" w:rsidRPr="00E3336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2034B2" w:rsidRPr="00E3336C" w:rsidTr="0020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FC6BE5">
            <w:pPr>
              <w:tabs>
                <w:tab w:val="left" w:pos="8822"/>
              </w:tabs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Сектор </w:t>
            </w:r>
            <w:r w:rsidR="002034B2"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молоді та с</w:t>
            </w: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порту виконавчого комітету Березанської міської ради</w:t>
            </w:r>
          </w:p>
          <w:p w:rsidR="002034B2" w:rsidRPr="00E3336C" w:rsidRDefault="002034B2">
            <w:pPr>
              <w:tabs>
                <w:tab w:val="left" w:pos="8822"/>
              </w:tabs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34B2" w:rsidRPr="00E3336C" w:rsidTr="0020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Терміни реалізації програми</w:t>
            </w:r>
          </w:p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tabs>
                <w:tab w:val="left" w:pos="8822"/>
              </w:tabs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tabs>
                <w:tab w:val="left" w:pos="8822"/>
              </w:tabs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/>
              </w:rPr>
              <w:t xml:space="preserve">на </w:t>
            </w:r>
            <w:r w:rsidR="00FC6BE5"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2022-2025</w:t>
            </w: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336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val="uk-UA"/>
              </w:rPr>
              <w:t>роки</w:t>
            </w:r>
          </w:p>
        </w:tc>
      </w:tr>
      <w:tr w:rsidR="002034B2" w:rsidRPr="00E3336C" w:rsidTr="002034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  <w:p w:rsidR="002034B2" w:rsidRPr="00E3336C" w:rsidRDefault="002034B2">
            <w:pPr>
              <w:spacing w:line="27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4B2" w:rsidRPr="00E3336C" w:rsidRDefault="009509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167</w:t>
            </w:r>
            <w:r w:rsidR="002034B2" w:rsidRPr="00E3336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тис. грн.</w:t>
            </w:r>
          </w:p>
        </w:tc>
      </w:tr>
    </w:tbl>
    <w:p w:rsidR="002034B2" w:rsidRPr="00E3336C" w:rsidRDefault="002034B2" w:rsidP="002034B2">
      <w:pPr>
        <w:rPr>
          <w:rFonts w:ascii="Times New Roman" w:hAnsi="Times New Roman" w:cs="Times New Roman"/>
          <w:color w:val="444444"/>
          <w:sz w:val="26"/>
          <w:szCs w:val="26"/>
          <w:lang w:val="uk-UA"/>
        </w:rPr>
        <w:sectPr w:rsidR="002034B2" w:rsidRPr="00E3336C" w:rsidSect="00EB08DE">
          <w:pgSz w:w="11909" w:h="16834"/>
          <w:pgMar w:top="1134" w:right="567" w:bottom="1134" w:left="1701" w:header="720" w:footer="720" w:gutter="0"/>
          <w:cols w:space="720"/>
          <w:docGrid w:linePitch="299"/>
        </w:sectPr>
      </w:pP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2. Загальні положення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Програма роз</w:t>
      </w:r>
      <w:r w:rsidR="00FC6BE5"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витку молодіжної політи</w:t>
      </w:r>
      <w:r w:rsidR="00E12532"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ки   в Березанській   громаді  на 2022 -2025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роки, далі Програма  розроблена відповідно до Конституції України, Закону України 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Про сприяння соціальному становленню та розвитку молоді в Україні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Указу Президента України 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Про Стратегію національно-патріотичного виховання до 2025 року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Постанов КМУ 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Державної цільової соціальної програми 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Молодь України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 2021-2025 роки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плану дій щодо реалізації Стратегії національно-патріотичного виховання на 2020-2025 роки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„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Європейської хартії про участь молоді у місцевому і регіональному житті</w:t>
      </w:r>
      <w:r w:rsidR="006D592D">
        <w:rPr>
          <w:rFonts w:ascii="Times New Roman" w:eastAsia="Times New Roman" w:hAnsi="Times New Roman" w:cs="Times New Roman"/>
          <w:sz w:val="28"/>
          <w:szCs w:val="28"/>
          <w:lang w:val="uk-UA"/>
        </w:rPr>
        <w:t>“.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Програма базується на основі належного кадрового забезпечення, фінансового забезпечення, розвитку молодіжної інфраструктури та залученню молоді до процесу розроблення й ухвалення рішень та контролю за їх виконанням, проведенням різнопланових молодіжних заходів, заходів національно-патріотичного спрямування, головних принципах національної самобутності українського народу, його консолідації навколо спільного майбутнього, захисту незалежності, територіальної цілісності України та формування спільних ціннісних орієнтацій через дієву участь у процесі розбудови Української держави.     </w:t>
      </w:r>
    </w:p>
    <w:p w:rsidR="002034B2" w:rsidRPr="00E3336C" w:rsidRDefault="002034B2" w:rsidP="002034B2">
      <w:pPr>
        <w:shd w:val="clear" w:color="auto" w:fill="FFFFFF"/>
        <w:spacing w:after="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передбачає забезпечення комплексної, системної і цілеспрямованої діяльності органів державної влади, місцевого самоврядування, громадських організацій, сім’ї, освітніх закладів, інших соціальних інститутів щодо ефективного впровадження молодіжної політики та політики національно-патріотичного виховання в нашій громаді.</w:t>
      </w:r>
    </w:p>
    <w:p w:rsidR="002034B2" w:rsidRPr="00E3336C" w:rsidRDefault="002034B2" w:rsidP="002034B2">
      <w:pPr>
        <w:shd w:val="clear" w:color="auto" w:fill="FFFFFF"/>
        <w:spacing w:after="2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>3. Визначення проблеми, на розв’язання якої спрямована Програма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Молодь є важливою складовою суспільства, носієм інтелектуального потенціалу, визначальним фактором соціально-економічного прогресу. Молодіжна політика інтегрує в собі усі інші сфери відповідальності по роботі з молоддю: освіта, працевлаштування та ринок праці, культурний розвиток, соціальний захист, передбачає використання існуючої структури і формування нової, з урахуванням функцій різних відповідальних суб’єктів на рівні громади. Проте, незважаючи на певні позитивні зміни, які відбуваються в молодіжному середовищі громади, все ще існують проблеми. Зокрема погіршуються показники здоров’я молодих громадян, не подолана демографічна криза, спостерігається тенденція щодо поширення в молодіжному середовищі шкідливих звичок, збільшується рівень трудової міграції. Рівень громадської активності, самоорганізації та громадянської свідомості залишається на 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низькому рівні. Освітній потенціал молоді значною мірою не реалізується через невідповідність між попитом та пропозиціями на ринку праці. Молодь, в сільській місцевості майже не охоплена змістовним дозвіллям.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Ще одним важливим  питанням реалізації молодіжної політики в громаді є національно-патріотичне виховання. Патріотизм, як суспільне явище, являє собою нагальну потребу держави, суспільства та особистості. Тільки громадяни, які є національно свідомими патріотами, здатні забезпечити розвиток країни в різних сферах життєдіяльності, гідне майбутнє і її місце в цивілізованому світі. Сформованість патріотичних почуттів сприяє духовному становленню та розвитку народу, передбачає розвиток національної самосвідомості, суттєве перетворення громадянської свідомості, моральної, правової культури особистості, формування активної громадянської позиції.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                                     4. Мета Програми</w:t>
      </w:r>
    </w:p>
    <w:p w:rsidR="002034B2" w:rsidRPr="00E3336C" w:rsidRDefault="002034B2" w:rsidP="002034B2">
      <w:pPr>
        <w:shd w:val="clear" w:color="auto" w:fill="FFFFFF"/>
        <w:spacing w:after="2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Метою Програми є </w:t>
      </w:r>
      <w:r w:rsidRPr="00E3336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створення можливостей для самореалізації та розвитку </w:t>
      </w:r>
      <w:r w:rsidR="00E12532" w:rsidRPr="00E3336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потенціалу молоді в Березанській</w:t>
      </w:r>
      <w:r w:rsidRPr="00E3336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громаді, її участі та інтеграції у суспільне життя, </w:t>
      </w:r>
      <w:r w:rsidRPr="00E333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формування та утвердження української громадянської ідентичності на основі єдиних суспільно-державних (національних) цінностей (самобутність, воля, соборність, гідність) і загальнолюдських цінностей.</w:t>
      </w: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                            5. Основні завдання Програми</w:t>
      </w: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Основними завданнями Програми є: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–  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підвищення рівня компетентностей молоді, у тому числі громадянських;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–  підвищення рівня культури волонтерства серед молоді;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–  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активізація залучення молоді до процесів ухвалення рішень;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–  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виконання програм для підготовки фахівців, які працюють з молоддю, у тому числі програми</w:t>
      </w:r>
      <w:r w:rsidR="006D592D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 xml:space="preserve"> „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Молодіжний працівник</w:t>
      </w:r>
      <w:r w:rsidR="006D592D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“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  <w:lang w:val="uk-UA"/>
        </w:rPr>
        <w:t>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– формування української громадянської ідентичності (здійснення заходів, спрямованих на впровадження та утвердження суспільно-державних (національних) цінностей, розвиток громадянської ідентичності населення України);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–  військово-патріотичне виховання  (здійснення заходів, спрямованих на формування у громадян готовності до захисту України, громадського сприяння безпеці та обороні України та підвищення престижу військової і спеціальної державної служби);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     – співпраця з інститутами громадянського суспільства щодо національно-патріотичного виховання;</w:t>
      </w:r>
    </w:p>
    <w:p w:rsidR="002034B2" w:rsidRPr="00E3336C" w:rsidRDefault="002034B2" w:rsidP="002034B2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–  інформаційна підтримка та моніторинг  молодіжної політики та національно-патріотичного виховання в громаді.</w:t>
      </w: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    </w:t>
      </w: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             6. Очікувані результати виконання Програми</w:t>
      </w:r>
    </w:p>
    <w:p w:rsidR="002034B2" w:rsidRPr="00E3336C" w:rsidRDefault="002034B2" w:rsidP="002034B2">
      <w:pPr>
        <w:shd w:val="clear" w:color="auto" w:fill="FFFFFF"/>
        <w:spacing w:after="26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Виконання Програми дасть можливість: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збільшити чисельності молоді, яка бере участь у заходах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неформальної освіти та усвідомлює необхідність навчання протягом життя;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підвищення рівня компетентностей (знань, умінь, навичок, ставлень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тощо), у тому числі фінансової та цифрової грамотності, правової спроможності для активної участі та інтеграції молоді в суспільне життя  громади;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підвищення рівня медіаграмотності  молоді;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опанування нових знань та навичок, розвиток наявних та здобуття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нових компетентностей з метою професійного розвитку та провадження підприємницької діяльності в громаді.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зменшення частки молоді, яка не працює, не навчається, не набуває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професійних навичок, у загальній чисельності осіб віком 15-34 роки;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зростання чисельності молоді із сформованим відповідальним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ставленням до власного здоров’я;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зменшення чисельності молоді, яка має соціально небезпечні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захворювання, психічні розлади та різні форми залежності від психоактивних речовин, наркотичних засобів, психотропних речовин, алкоголю та тютюнових виробів;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зростання чисельності молоді, яка має знання та навички з 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планування сім’ї та репродуктивного здоров’я;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підвищення рівня поінформованості суспільства громади про потреби</w:t>
      </w:r>
      <w:r w:rsidR="00E12532"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молоді з числа осіб з інвалідністю та підвищення ступеня її інтеграції;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збільшення відсотка молоді з інвалідністю, яка бере участь у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діяльності інститутів громадянського суспільства;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взяття участі у </w:t>
      </w:r>
      <w:r w:rsidR="00E12532"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волонтерській діяльності (у прое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ктах та заходах) 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молоді;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взяття участі у процесах ухвалення рішень представників органів 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учнівського  самоврядування, молодіжних консультативно-дорадчих органів;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інформування молоді про форми безпосередньої участі у суспільному житті;</w:t>
      </w:r>
    </w:p>
    <w:p w:rsidR="002034B2" w:rsidRPr="00E3336C" w:rsidRDefault="002034B2" w:rsidP="002034B2">
      <w:p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      - збільшення кількості компетентних представників інститутів громадянського суспільства та фахівців, які працюють з молоддю;</w:t>
      </w:r>
    </w:p>
    <w:p w:rsidR="002034B2" w:rsidRPr="00E3336C" w:rsidRDefault="002034B2" w:rsidP="002034B2">
      <w:pPr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збільшення кількості молоді, яка підвищить рівень своєї активності та</w:t>
      </w:r>
      <w:r w:rsidR="00E12532"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інтеграції в суспільне житт</w:t>
      </w:r>
      <w:r w:rsidR="00E12532"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я громади, завдяки участі у прое</w:t>
      </w: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ктах молодіжних та дитячих громадських організацій;</w:t>
      </w:r>
    </w:p>
    <w:p w:rsidR="002034B2" w:rsidRPr="00E3336C" w:rsidRDefault="002034B2" w:rsidP="002034B2">
      <w:pPr>
        <w:numPr>
          <w:ilvl w:val="0"/>
          <w:numId w:val="2"/>
        </w:numPr>
        <w:shd w:val="clear" w:color="auto" w:fill="FFFFFF"/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збільшити рівень охоплення населення громади заходами </w:t>
      </w:r>
    </w:p>
    <w:p w:rsidR="002034B2" w:rsidRPr="00E3336C" w:rsidRDefault="00E12532" w:rsidP="002034B2">
      <w:pPr>
        <w:shd w:val="clear" w:color="auto" w:fill="FFFFFF"/>
        <w:spacing w:before="100" w:after="2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(прое</w:t>
      </w:r>
      <w:r w:rsidR="002034B2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ктами), які формують українську громадянську ідентичність на основі суспільно-державних (національних) цінностей (самобутність, воля, соборність, гідність);</w:t>
      </w:r>
    </w:p>
    <w:p w:rsidR="002034B2" w:rsidRPr="00E3336C" w:rsidRDefault="002034B2" w:rsidP="002034B2">
      <w:pPr>
        <w:numPr>
          <w:ilvl w:val="0"/>
          <w:numId w:val="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збільшити рівень охоплення молоді  громади заходами (проектами),що спрямовані на збільшення чисельності молоді, готової до виконання обов’язку із захисту незалежності та територіальної цілісності України;</w:t>
      </w:r>
    </w:p>
    <w:p w:rsidR="002034B2" w:rsidRPr="00E3336C" w:rsidRDefault="002034B2" w:rsidP="002034B2">
      <w:pPr>
        <w:numPr>
          <w:ilvl w:val="0"/>
          <w:numId w:val="2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провадити активну діяльність українських молодіжних громадських</w:t>
      </w:r>
      <w:r w:rsidR="00E12532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об’єднань, що заборонялися і переслідувалися окупаційними та радянським режимами, у тому числі українського пластового руху (Пласт) та скаутського руху, Спілки української молоді.</w:t>
      </w:r>
    </w:p>
    <w:p w:rsidR="002034B2" w:rsidRPr="00E3336C" w:rsidRDefault="002034B2" w:rsidP="002034B2">
      <w:pPr>
        <w:numPr>
          <w:ilvl w:val="0"/>
          <w:numId w:val="2"/>
        </w:numPr>
        <w:shd w:val="clear" w:color="auto" w:fill="FFFFFF"/>
        <w:spacing w:before="100" w:after="2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збільшити кількість осіб, що пройшли навчання з підготовки</w:t>
      </w:r>
      <w:r w:rsidR="00E12532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активістів, які займаються питаннями національно-патріотичного виховання дітей та молоді;</w:t>
      </w:r>
    </w:p>
    <w:p w:rsidR="002034B2" w:rsidRPr="00E3336C" w:rsidRDefault="002034B2" w:rsidP="002034B2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підвищення рівня обізнаності населення щодо роботи, яка</w:t>
      </w:r>
    </w:p>
    <w:p w:rsidR="00E048FC" w:rsidRDefault="002034B2" w:rsidP="002034B2">
      <w:pPr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здійснюється в громаді у напрямку молодіжної політики та національно-патріотичного виховання.</w:t>
      </w: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</w:t>
      </w:r>
    </w:p>
    <w:p w:rsidR="002034B2" w:rsidRPr="00E3336C" w:rsidRDefault="002034B2" w:rsidP="002034B2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            </w:t>
      </w:r>
      <w:bookmarkStart w:id="0" w:name="_GoBack"/>
      <w:bookmarkEnd w:id="0"/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                7.   Фінансове забезпечення Програми</w:t>
      </w:r>
    </w:p>
    <w:p w:rsidR="002034B2" w:rsidRPr="00E3336C" w:rsidRDefault="002034B2" w:rsidP="002034B2">
      <w:pPr>
        <w:shd w:val="clear" w:color="auto" w:fill="FFFFFF"/>
        <w:spacing w:after="26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         Фінансування Програми проводиться за рахунок коштів місцевого бюджету, а також за рахунок залучення позабюджетних коштів інвесторів, меценатів, громадських фондів, інших юридичних та фізичних осіб, що не суперечить чинному законодавству України.</w:t>
      </w:r>
      <w:r w:rsidR="00DB03D2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Сектор молоді та спорту виконавчого комітету Березанської міської ради  щороку передбачає у прое</w:t>
      </w: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ктах місцевого бюджету необхідні обсяги коштів для виконання Програми з урахуванням можливостей бюджету на відповідний рік.</w:t>
      </w:r>
      <w:r w:rsidR="006B60F1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</w:t>
      </w: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Обсяги бюджетних асигнувань будуть визначатися, виходячи з необхідності виконання у відповідних роках конкретних заходів Програми, орієнтованих витрат на їх реалізацію.</w:t>
      </w:r>
    </w:p>
    <w:p w:rsidR="002034B2" w:rsidRPr="00E3336C" w:rsidRDefault="002034B2" w:rsidP="002034B2">
      <w:pPr>
        <w:shd w:val="clear" w:color="auto" w:fill="FFFFFF"/>
        <w:spacing w:after="26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</w:pPr>
    </w:p>
    <w:p w:rsidR="002034B2" w:rsidRPr="00E3336C" w:rsidRDefault="002034B2" w:rsidP="002034B2">
      <w:pPr>
        <w:spacing w:line="199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uk-UA"/>
        </w:rPr>
        <w:t xml:space="preserve">            </w:t>
      </w:r>
      <w:r w:rsidRPr="00E3336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8.  Організація і контроль за виконанням Програми.</w:t>
      </w:r>
    </w:p>
    <w:p w:rsidR="002034B2" w:rsidRPr="00E3336C" w:rsidRDefault="002034B2" w:rsidP="002034B2">
      <w:pPr>
        <w:spacing w:line="199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2034B2" w:rsidRPr="00E3336C" w:rsidRDefault="00DB03D2" w:rsidP="002034B2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 Сектор молоді та спорту виконавчого комітету Березанської міської</w:t>
      </w:r>
      <w:r w:rsidR="002034B2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ради у процесі виконання Програми забезпечує цільове та ефективне використання бюджетних коштів протягом усього строку реалізації відповідної програми у межах бюджетних призначень.</w:t>
      </w:r>
    </w:p>
    <w:p w:rsidR="002034B2" w:rsidRPr="00E3336C" w:rsidRDefault="002034B2" w:rsidP="002034B2">
      <w:pPr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 xml:space="preserve">      Виконання Програми здійснюється шляхом реалізації її заходів і завдань.  Внесення змін до Програми здійснюється за процедурою внесення змін до місцевих нормативних актів. Контроль за використанням бюджетних коштів, спрямованих на забезпечення виконання Програми, здійснюється в п</w:t>
      </w:r>
      <w:r w:rsidR="00DB03D2"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о</w:t>
      </w:r>
      <w:r w:rsidRPr="00E3336C"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t>рядку, встановленому бюджетним законодавством України</w:t>
      </w:r>
    </w:p>
    <w:p w:rsidR="002034B2" w:rsidRPr="00E3336C" w:rsidRDefault="002034B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DB03D2" w:rsidRPr="00E3336C" w:rsidRDefault="00DB03D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DB03D2" w:rsidRPr="00E3336C" w:rsidRDefault="00DB03D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DB03D2" w:rsidRPr="00E3336C" w:rsidRDefault="00DB03D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DB03D2" w:rsidRPr="00E3336C" w:rsidRDefault="00DB03D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DB03D2" w:rsidRPr="00E3336C" w:rsidRDefault="00DB03D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</w:pPr>
    </w:p>
    <w:p w:rsidR="00DB03D2" w:rsidRPr="00E3336C" w:rsidRDefault="00DB03D2" w:rsidP="002034B2">
      <w:pPr>
        <w:rPr>
          <w:rFonts w:ascii="Times New Roman" w:eastAsia="Times New Roman" w:hAnsi="Times New Roman" w:cs="Times New Roman"/>
          <w:color w:val="444444"/>
          <w:sz w:val="28"/>
          <w:szCs w:val="28"/>
          <w:lang w:val="uk-UA"/>
        </w:rPr>
        <w:sectPr w:rsidR="00DB03D2" w:rsidRPr="00E3336C" w:rsidSect="00EB08DE">
          <w:pgSz w:w="11909" w:h="16834"/>
          <w:pgMar w:top="1134" w:right="567" w:bottom="1134" w:left="1701" w:header="720" w:footer="720" w:gutter="0"/>
          <w:cols w:space="720"/>
          <w:docGrid w:linePitch="299"/>
        </w:sectPr>
      </w:pPr>
    </w:p>
    <w:p w:rsidR="002034B2" w:rsidRPr="00E3336C" w:rsidRDefault="002034B2" w:rsidP="002034B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:rsidR="002034B2" w:rsidRPr="00E3336C" w:rsidRDefault="002034B2" w:rsidP="00E048F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E333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9. Напрямки діяльн</w:t>
      </w:r>
      <w:r w:rsidR="00DB03D2" w:rsidRPr="00E3336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ості та заходи Програми</w:t>
      </w:r>
    </w:p>
    <w:p w:rsidR="002034B2" w:rsidRPr="00E3336C" w:rsidRDefault="002034B2" w:rsidP="002034B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2034B2" w:rsidRPr="00E3336C" w:rsidRDefault="002034B2" w:rsidP="002034B2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/>
        </w:rPr>
      </w:pPr>
    </w:p>
    <w:tbl>
      <w:tblPr>
        <w:tblStyle w:val="2"/>
        <w:tblW w:w="15830" w:type="dxa"/>
        <w:tblInd w:w="11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4A0"/>
      </w:tblPr>
      <w:tblGrid>
        <w:gridCol w:w="426"/>
        <w:gridCol w:w="1701"/>
        <w:gridCol w:w="3118"/>
        <w:gridCol w:w="1418"/>
        <w:gridCol w:w="2409"/>
        <w:gridCol w:w="1134"/>
        <w:gridCol w:w="1336"/>
        <w:gridCol w:w="4288"/>
      </w:tblGrid>
      <w:tr w:rsidR="002034B2" w:rsidRPr="00E3336C" w:rsidTr="005542D2">
        <w:trPr>
          <w:trHeight w:val="1790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Термін виконання заходу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Джерела фінансу-вання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Орієнтовні обсяги фінансування (вартість), тис. гривень, у тому числі:</w:t>
            </w:r>
          </w:p>
          <w:p w:rsidR="002034B2" w:rsidRPr="00E3336C" w:rsidRDefault="007B622D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2022 -2025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ind w:right="-53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2034B2" w:rsidRPr="00E3336C" w:rsidTr="005542D2">
        <w:trPr>
          <w:trHeight w:val="201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2034B2" w:rsidRPr="00E3336C" w:rsidTr="005542D2">
        <w:trPr>
          <w:trHeight w:val="1100"/>
        </w:trPr>
        <w:tc>
          <w:tcPr>
            <w:tcW w:w="42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Підвищення рівня компетентностей молоді, у тому числі громадянських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5C273E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1.1. П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роведення виставок, ярмарок вакансiй, семiнарiв, конференцiй, засiдань круглих столів з питань забезпечення належної зайнятостi та </w:t>
            </w:r>
            <w:r w:rsidR="00872BF3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підтримки молодіжних ініціатив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B03D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872BF3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</w:t>
            </w:r>
            <w:r w:rsidR="00DB03D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ектор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молоді та спорту, </w:t>
            </w:r>
            <w:r w:rsidR="00DB03D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міський центр зайнятості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8837DE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Не потребує фінансування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зменшення частки молоді, яка не працює, не навчається, не набуває професійних навичок, у загальній чисельності осіб віком 15-34 роки</w:t>
            </w:r>
          </w:p>
        </w:tc>
      </w:tr>
      <w:tr w:rsidR="002034B2" w:rsidRPr="00E3336C" w:rsidTr="005542D2">
        <w:trPr>
          <w:trHeight w:val="840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1.2.Організовувати заходи щодо адаптації до корисного використання сучасних інформаційних технологій, профілактики негативного впливу Інтернету на підлітків та молодь.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B03D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B03D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освіти,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="00D9431F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ДНЗ «Професійний Аграрний ліцей», 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8837DE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Не потребує фінансуванн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Підвищення рівня медіаграмотності молоді та попередження можливого негативного впливу сучасних інформаційних технологій</w:t>
            </w:r>
          </w:p>
        </w:tc>
      </w:tr>
      <w:tr w:rsidR="002034B2" w:rsidRPr="00C25A20" w:rsidTr="005542D2">
        <w:trPr>
          <w:trHeight w:val="585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1.3 Проводити заходи для обдарованої молоді з обмеженими фізичними можливостями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9431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9431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освіти,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культури,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порту, ДЮСШ «Старт»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,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збільшення відсотка молоді з інвалідністю, яка бере участь у діяльності інститутів громадянського суспільства, має досвід волонтерської діяльності, користується формами безпосередньої участі;</w:t>
            </w:r>
          </w:p>
        </w:tc>
      </w:tr>
      <w:tr w:rsidR="002034B2" w:rsidRPr="00C25A20" w:rsidTr="005542D2">
        <w:trPr>
          <w:trHeight w:val="540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1.4. Забезпечити участь активної молодi у мiжрегiональних, всеукраїнських, міжнародних форумах, конференцiях, що спрямованi на вирiшення актуальних молодiжних питань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9431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9431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освіти</w:t>
            </w:r>
            <w:r w:rsidR="00872BF3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,відділ культури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Розвиток молодіжних активістів в питаннях реалізації молодіжної політики, збільшення кількості молодіжних проектів спрямованих на реалізацію молодіжної політики</w:t>
            </w:r>
          </w:p>
        </w:tc>
      </w:tr>
      <w:tr w:rsidR="002034B2" w:rsidRPr="00E3336C" w:rsidTr="005542D2">
        <w:trPr>
          <w:trHeight w:val="1832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1.5.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Організовувати заходи з популяризації молодіжної творчості, зокрема, літературні вечори, фотовиставки, танцювальні майстер-класи, флешмоби, квести та інше.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D9431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872BF3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</w:t>
            </w:r>
            <w:r w:rsidR="002034B2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ідділ освіти,</w:t>
            </w:r>
            <w:r w:rsidR="00D9431F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культури,сектор молоді та спорту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2034B2" w:rsidRPr="00E3336C" w:rsidRDefault="002034B2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Покращення рівня реалізації молодіжної політики у сфері підтримки обдарованої молоді та сприяння творчому, інтелектуальному та духовному розвитку молоді</w:t>
            </w:r>
          </w:p>
        </w:tc>
      </w:tr>
      <w:tr w:rsidR="005430DF" w:rsidRPr="00C25A20" w:rsidTr="005542D2">
        <w:trPr>
          <w:trHeight w:val="836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 xml:space="preserve">1.6. Організовувати заходи з популяризації здорового способу життя, змістовного активного дозвілля,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проводити наради, бесіди, тренінги, семінари тощо щодо профілактики шкідливих звичок у молоді,формування внутрішньої культури їх взаємин у соціальному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середовищі,розвиток та підтримка нетрадиційних вуличних видів спорту. Проведення інформаційних заходів ,спрямованих на пропаганду здорового способу життя та профілактику негативних явищ у молодіжному та дитячому середовищі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освіти,відділ культури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2023р- 5,0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2025р-5,0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1562E2" w:rsidRDefault="005430DF" w:rsidP="005542D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зростання чисельності молоді із сформованим відповідальним ставленням до власного здоров’я та зменшення чисельності молоді,</w:t>
            </w:r>
          </w:p>
          <w:p w:rsidR="005430DF" w:rsidRPr="00E3336C" w:rsidRDefault="005430DF" w:rsidP="005542D2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яка має соціально небезпечні захворювання, психічні розлади та різні форми залежності від психоактивних речовин, наркотичних засобів, психотропних речовин, алкоголю та тютюнових виробів,популяризація здорового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способу життя,інформування молоді щодо наслідків впливу негативних звичок</w:t>
            </w:r>
          </w:p>
        </w:tc>
      </w:tr>
      <w:tr w:rsidR="005430DF" w:rsidRPr="00E3336C" w:rsidTr="005542D2">
        <w:trPr>
          <w:trHeight w:val="1650"/>
        </w:trPr>
        <w:tc>
          <w:tcPr>
            <w:tcW w:w="426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1.7. Популяризації велоспорту та використання велосипеда як найбільш доступного і екологічно чистого засобу пересування та активного відпочинку.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культури,відділ освіти,сектор молоді та спорту,МБІ (За згодою)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Залучення різної категорії молоді до екологічно чистого виду транспорту та активного відпочинку</w:t>
            </w:r>
          </w:p>
        </w:tc>
      </w:tr>
      <w:tr w:rsidR="005430DF" w:rsidRPr="00E3336C" w:rsidTr="005542D2">
        <w:trPr>
          <w:trHeight w:val="825"/>
        </w:trPr>
        <w:tc>
          <w:tcPr>
            <w:tcW w:w="426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1.8.Проведення міських заходів(акцій,ігор конкурсів,дебатів,тренінгів,змагань,фестивалів,наметових таборів,марафонів,походів,конкурсів,засідань за круглим столом,зльотів,концертів та інших заходів)а також виготовлення та розміщення соціальної реклами,банерів,роликів з метою розвитку серед молоді громадянських компетентностей,впровадж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ення можливих форм роботи з молоддю за напрямками неформальної освіти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2022-2025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освіти,відділ культури,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МБІ (за згодою),інститути громадянського суспільства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2022-</w:t>
            </w:r>
            <w:r w:rsidR="005430DF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2023-5,0</w:t>
            </w:r>
          </w:p>
          <w:p w:rsidR="005430DF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2024-1</w:t>
            </w:r>
            <w:r w:rsidR="005430DF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0,0</w:t>
            </w:r>
          </w:p>
          <w:p w:rsidR="005430DF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2025-1</w:t>
            </w:r>
            <w:r w:rsidR="005430DF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0,0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hd w:val="clear" w:color="auto" w:fill="FFFFFF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Створення цілісної системи неформальної освіти молоді,підвищення рівня активності молоді</w:t>
            </w:r>
          </w:p>
        </w:tc>
      </w:tr>
      <w:tr w:rsidR="005430DF" w:rsidRPr="00E3336C" w:rsidTr="005542D2">
        <w:trPr>
          <w:trHeight w:val="993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2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Підвищення рівня культури волонтерства серед молоді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2.1 Організувати та проводити заходи для популяризації та розвитку волонтерської діяльності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освіти,відділ культури,сектор молоді та спорту,МБІ(за згодою)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взяття участі у волонтерській діяльності (у проектах та заходах) молоді громади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</w:tr>
      <w:tr w:rsidR="005430DF" w:rsidRPr="00C25A20" w:rsidTr="005542D2">
        <w:trPr>
          <w:trHeight w:val="2206"/>
        </w:trPr>
        <w:tc>
          <w:tcPr>
            <w:tcW w:w="42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Активізація залучення молоді до процесів ухвалення рішень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3.1.Залучення молодіжної громади до реалізації заходів молодіжної політики шляхом надання їм повноважень у спільній реалізації заходів. Здійснення заходів на залучення молоді до роботи в органах виконавчої влади,проведення відповідного стажування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культури,відділ освіти,міськвиконком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Інтеграція молоді в суспільне життя громади, збільшення кількості проектів, спрямованих на реалізацію молодіжної політики,налагодження ефективної співпраці</w:t>
            </w:r>
          </w:p>
        </w:tc>
      </w:tr>
      <w:tr w:rsidR="005430DF" w:rsidRPr="00C25A20" w:rsidTr="005542D2">
        <w:trPr>
          <w:trHeight w:val="2246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3.2Створити та активізувати діяльність координаційної ради з питань молодіжної політики при міськвиконкомі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спорту,міськвиконком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Покращення рівня якості співпраці між молодіжними об'єднаннями та місцевим самоврядуванням</w:t>
            </w:r>
          </w:p>
        </w:tc>
      </w:tr>
      <w:tr w:rsidR="005430DF" w:rsidRPr="00E3336C" w:rsidTr="005542D2">
        <w:trPr>
          <w:trHeight w:val="2246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3.3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Проводити заходи до Дня молодi, Дня Незалежності України, Дня громади.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культури, відділ освіти,МБІ (за згодою)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2022 - 5</w:t>
            </w:r>
            <w:r w:rsidR="005430DF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,0</w:t>
            </w:r>
          </w:p>
          <w:p w:rsidR="005430DF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2023- 10</w:t>
            </w:r>
            <w:r w:rsidR="005430DF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,0</w:t>
            </w:r>
          </w:p>
          <w:p w:rsidR="005430DF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2024-1</w:t>
            </w:r>
            <w:r w:rsidR="00433804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0</w:t>
            </w:r>
            <w:r w:rsidR="005430DF"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,0</w:t>
            </w:r>
          </w:p>
          <w:p w:rsidR="003F14AC" w:rsidRPr="00E3336C" w:rsidRDefault="003F14AC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2025-15,0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Сприятиме підвищенню інтересу молоді до проблем державотворення, розвитку демократії та громадянського суспільства, участi молодi у реалізації державної молодіжної політики в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громаді</w:t>
            </w:r>
          </w:p>
        </w:tc>
      </w:tr>
      <w:tr w:rsidR="005430DF" w:rsidRPr="00E3336C" w:rsidTr="005542D2">
        <w:trPr>
          <w:trHeight w:val="540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3.4. Запровадити практику включення представників молоді до складу дорадчих органів міськвиконкому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 ,міськвиконком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Вивчення першочергових потань,які спрямовані на реалізацію молодіжної політики</w:t>
            </w:r>
          </w:p>
        </w:tc>
      </w:tr>
      <w:tr w:rsidR="005430DF" w:rsidRPr="00E3336C" w:rsidTr="005542D2">
        <w:trPr>
          <w:trHeight w:val="780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3.5.Заснувати щорічну премію «За внесок молоді у розвиток місцевого самоврядування»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Міськвиконком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2023р- 5,0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2025р-5,0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Підвищення рівня цінностей громадської роботи</w:t>
            </w:r>
          </w:p>
        </w:tc>
      </w:tr>
      <w:tr w:rsidR="005430DF" w:rsidRPr="00C25A20" w:rsidTr="005542D2">
        <w:trPr>
          <w:trHeight w:val="900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3.6.Направляти на навчання лідерів молодіжних об'єднань,семінари та форуми щодо налагодження соціального партнерства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2022р-3,0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2023р-4,0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2025р-5,0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Розвиток молодіжних активістів в питаннях реалізації молодіжної політики,якісний обмін досвідом</w:t>
            </w:r>
          </w:p>
        </w:tc>
      </w:tr>
      <w:tr w:rsidR="005430DF" w:rsidRPr="00E3336C" w:rsidTr="005542D2">
        <w:trPr>
          <w:trHeight w:val="1712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3.7 Проводити громадськi слухання, онлайн опитування  щодо вирiшення актуальних молодiжних питань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спорту,МБІ(за згодою)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Налагодження ефективної роботи в сфері молодіжної політики, підвищення розуміння нагальних молодіжних питань.</w:t>
            </w:r>
          </w:p>
        </w:tc>
      </w:tr>
      <w:tr w:rsidR="005430DF" w:rsidRPr="00E3336C" w:rsidTr="005542D2">
        <w:trPr>
          <w:trHeight w:val="201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Виконання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 xml:space="preserve">програм для підготовки фахівців, які працюють з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lastRenderedPageBreak/>
              <w:t>молоддю, у тому числі програми “Молодіжний працівник”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4.1 Забезпечити участь фахівців,які працюють з молоддю, активної молодi у мiжрегiональних, всеукраїн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ських, міжнародних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 xml:space="preserve">форумах, конференцiях,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у тому числі  програми “Молодіжний працівник”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що спрямованi на вирiшення актуальних молодiжних питань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>Збільшення чисельність представників інститутів громадянського суспільства та фахівців, які працюють з молоддю, що пройшли навчання, у тому числі за програмою “Молодіжний працівник”</w:t>
            </w:r>
          </w:p>
        </w:tc>
      </w:tr>
      <w:tr w:rsidR="005430DF" w:rsidRPr="00C25A20" w:rsidTr="005542D2">
        <w:trPr>
          <w:trHeight w:val="5788"/>
        </w:trPr>
        <w:tc>
          <w:tcPr>
            <w:tcW w:w="42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Формування української громадянської ідентичності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5.1 Організація та проведення заходів з підвищення ролі української мови як національної цінності; подолання мовно-культурної меншовартості українців; популяризації та збереження національного аудіовізуального продукту (національні фільми, кінохроніка, телепередачі, музичне відео тощо) національно-патріотичного, морально-духовного та науково-освітянського тематичного спрямування в Україні та світі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відділ освіти,сектор молоді та спорту,відділ культури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Збільшення охоплення населення громади  заходами (проектами), які формують українську громадянську ідентичність на основі суспільно-державних (національних) цінностей (самобутність, воля, соборність, гідність); популяризації та збереження культурної спадщини та культурних цінностей України;</w:t>
            </w:r>
          </w:p>
          <w:p w:rsidR="005430DF" w:rsidRPr="00E3336C" w:rsidRDefault="005430DF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5430DF" w:rsidRPr="00E3336C" w:rsidTr="005542D2">
        <w:trPr>
          <w:trHeight w:val="1350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5.2 Проводити навчання, тренінги, семінари, круглі столи та інші заходи з питань виховання у молоді правової культури поваги до Конституції України,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lastRenderedPageBreak/>
              <w:t>Законів України, державних символів – Герба, Прапора, Гімну України. Популяризація національної культури, відродження та розвиток українського козацтва, вшанування історичної ролі козацтва у становленні української державності, вивчення традицій і звичаїв козаків із залученням дітей та молоді.,проведення змагань серед допризовників.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  <w:lang w:val="uk-UA"/>
              </w:rPr>
              <w:t xml:space="preserve"> Сприяти залученню до заходів ветеранських громадських організацій, козацтва, учасників АТО, учасників ліквідації наслідків аварії на Чорнобильській АЕС та ін.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Сектор молоді та спорту,відділ освіти,відділ культури,ДНЗ «Березанський професійний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аргарний ліцей»,І відділ Броварського РТЦК та СП,інститути громадянського суспільства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Підвищення рівня зацікавленості та обізнаності молоді щодо духовно – культурної спадщини України та рідного краю.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формування поваги, гідності, пошани до героїчних вчинків українського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народу.</w:t>
            </w:r>
          </w:p>
        </w:tc>
      </w:tr>
      <w:tr w:rsidR="005430DF" w:rsidRPr="00C25A20" w:rsidTr="005542D2">
        <w:trPr>
          <w:trHeight w:val="1350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5.3 Забезпечення проведення заходів національно-патріотичного спрямування, в тому числі приурочених до державних свят;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освіти,відділ культури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2022 - 5,0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 – 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 – 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 – 5,0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вшанування захисників України, які полягли в боротьбі за захист незалежності та територіальної цілісності України; формування шанобливого ставлення до героїв боротьби Українського народу за здобуття незалежності України;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5430DF" w:rsidRPr="00C25A20" w:rsidTr="005542D2">
        <w:trPr>
          <w:trHeight w:val="982"/>
        </w:trPr>
        <w:tc>
          <w:tcPr>
            <w:tcW w:w="42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hd w:val="clear" w:color="auto" w:fill="FFFFFF"/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Військово-патріотичне виховання молоді. Популяризація національ ної культури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6.1. Проведення семінарів-практикумів, військово-спортивних ігор, змагань щодо посилення профілактики правопорушень, практичний розвиток та удосконалення військово-патріотичного виховання дітей та молоді, підвищення рівня знань, умінь та навичок у цьому напрямку, підвищення рівня готовності молоді до територіальної оборони; навчання з першої медичної допомоги та військово-тактичної медицини.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освіти, І відділ Броварського РТЦК та СП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---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---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Підвищення особистої відповідальності громадян щодо виконання військового обов’язку, набуття учнів та молоддю громади первинних знань та навичок з  першої медичної допомоги, профілактики правопорушень, негативних явищ у суспільстві, популяризації і підвищення престижу військової та спеціальної державної служби;</w:t>
            </w:r>
          </w:p>
        </w:tc>
      </w:tr>
      <w:tr w:rsidR="005430DF" w:rsidRPr="00E3336C" w:rsidTr="005542D2">
        <w:trPr>
          <w:trHeight w:val="1676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6.2 Проводити молодіжні форуми,конференції,змагання фестивалі, навчання, тренінги, семінари, квести, акції, ярмарки, круглі столи, конкурси, фото виставки, тематичні марафони та екскурсії інші заходи, що спрямовані на вирішення актуальних питань національно-патріотичного виховання дітей та молоді. Та брати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участь у обласних заходах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різних форматів.</w:t>
            </w:r>
          </w:p>
        </w:tc>
        <w:tc>
          <w:tcPr>
            <w:tcW w:w="141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2022-2024 роки</w:t>
            </w:r>
          </w:p>
        </w:tc>
        <w:tc>
          <w:tcPr>
            <w:tcW w:w="2409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спорту,відділ освіти,відділ культури, І відділ Броварського РТЦК та СП</w:t>
            </w:r>
          </w:p>
        </w:tc>
        <w:tc>
          <w:tcPr>
            <w:tcW w:w="1134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місцевий</w:t>
            </w:r>
          </w:p>
        </w:tc>
        <w:tc>
          <w:tcPr>
            <w:tcW w:w="133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2022р-5,0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2023р-5,0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2024р-5,0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uk-UA"/>
              </w:rPr>
              <w:t>2025р-5,0</w:t>
            </w:r>
          </w:p>
        </w:tc>
        <w:tc>
          <w:tcPr>
            <w:tcW w:w="4288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Удосконалення системи військово-патріотичного виховання дітей та молоді, у тому числі підвищення теоретичних та практичних знань, умінь та навичок молодих людей щодо засад мілітарної культури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5430DF" w:rsidRPr="00E3336C" w:rsidTr="005542D2">
        <w:trPr>
          <w:trHeight w:val="2115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4288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  <w:tr w:rsidR="005430DF" w:rsidRPr="00E3336C" w:rsidTr="005542D2">
        <w:trPr>
          <w:trHeight w:val="65"/>
        </w:trPr>
        <w:tc>
          <w:tcPr>
            <w:tcW w:w="426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Забезпечення міжнародного молодіжного співробітництва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7.1.Інформування молоді щодо проведення та можливості участі у регіональних,всеукраїнських,міжнародних культурно-мистецьких заходах,з метою забезпечення міжнародного молодіжного співробітництва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8F4059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8F4059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Міськвиконком,відділ культури,відділ освіти,сектор молоді та спорту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8F4059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8F4059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8F4059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Поінформованість молоді міста щодо можливостей молодіжного співробітництва</w:t>
            </w:r>
          </w:p>
        </w:tc>
      </w:tr>
      <w:tr w:rsidR="005430DF" w:rsidRPr="00C25A20" w:rsidTr="005542D2">
        <w:trPr>
          <w:trHeight w:val="1695"/>
        </w:trPr>
        <w:tc>
          <w:tcPr>
            <w:tcW w:w="426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 xml:space="preserve">7.2 </w:t>
            </w:r>
            <w:r w:rsidR="008F4059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9F9F9"/>
                <w:lang w:val="uk-UA"/>
              </w:rPr>
              <w:t>Участь молоді в заходах спрямованих на міжнародне співробітництво,молодіжних обмінах,заходах,спрямованих на міжнародний обмін досвіду,соціальну згуртованість,розвиток молодіжної інфраструктури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</w:t>
            </w:r>
            <w:r w:rsidR="008F4059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,міськвиконком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8F4059" w:rsidP="005542D2">
            <w:pPr>
              <w:spacing w:before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Забезпечення інтеграції молоді міста в європейські та світові молодіжні структури,впровадження кращих практик у реалізацію молодіжної політики</w:t>
            </w:r>
          </w:p>
        </w:tc>
      </w:tr>
      <w:tr w:rsidR="005430DF" w:rsidRPr="00C25A20" w:rsidTr="005542D2">
        <w:trPr>
          <w:trHeight w:val="1974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Інформаційна підтримка та моніторинг  молодіжної політики</w:t>
            </w:r>
          </w:p>
        </w:tc>
        <w:tc>
          <w:tcPr>
            <w:tcW w:w="31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Постійне висвітлення в  місцевих засобах масової інформації матеріалів щодо розвитку в громаді молодіжної політики</w:t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Сектор молоді та спорту, Березанська громада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-</w:t>
            </w:r>
          </w:p>
        </w:tc>
        <w:tc>
          <w:tcPr>
            <w:tcW w:w="42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>Підвищення рівня обізнаності населення щодо роботи, що здійснюється</w:t>
            </w:r>
            <w:r w:rsidR="008F4059"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</w:t>
            </w:r>
            <w:r w:rsidRPr="00E333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в громаді у напрямку молодіжної політики</w:t>
            </w: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  <w:p w:rsidR="005430DF" w:rsidRPr="00E3336C" w:rsidRDefault="005430DF" w:rsidP="00554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</w:tr>
    </w:tbl>
    <w:p w:rsidR="002034B2" w:rsidRPr="00E3336C" w:rsidRDefault="002034B2" w:rsidP="005542D2">
      <w:pPr>
        <w:tabs>
          <w:tab w:val="left" w:pos="0"/>
        </w:tabs>
        <w:spacing w:after="120" w:line="240" w:lineRule="auto"/>
        <w:jc w:val="center"/>
        <w:rPr>
          <w:rFonts w:ascii="Times New Roman" w:eastAsia="Antiqua" w:hAnsi="Times New Roman" w:cs="Times New Roman"/>
          <w:sz w:val="24"/>
          <w:szCs w:val="24"/>
          <w:lang w:val="uk-UA"/>
        </w:rPr>
      </w:pPr>
    </w:p>
    <w:tbl>
      <w:tblPr>
        <w:tblStyle w:val="1"/>
        <w:tblW w:w="1575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487"/>
        <w:gridCol w:w="4264"/>
      </w:tblGrid>
      <w:tr w:rsidR="002034B2" w:rsidRPr="00084A61" w:rsidTr="001562E2">
        <w:trPr>
          <w:trHeight w:val="939"/>
        </w:trPr>
        <w:tc>
          <w:tcPr>
            <w:tcW w:w="1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084A61" w:rsidRDefault="002034B2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34B2" w:rsidRPr="00084A61" w:rsidRDefault="002034B2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Всього по Програмі: </w:t>
            </w:r>
            <w:r w:rsidR="00433804"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167</w:t>
            </w:r>
            <w:r w:rsidR="00D96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000,00 </w:t>
            </w:r>
            <w:r w:rsidR="006B60F1"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 Сто шістдесят сім тисяч)</w:t>
            </w:r>
            <w:r w:rsidR="00D965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гривень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B2" w:rsidRPr="00084A61" w:rsidRDefault="002034B2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34B2" w:rsidRPr="00084A61" w:rsidRDefault="00433804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2022 рік – 33</w:t>
            </w:r>
            <w:r w:rsidR="002034B2"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2034B2" w:rsidRPr="00084A61" w:rsidRDefault="00433804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2023 рік – 39</w:t>
            </w:r>
            <w:r w:rsidR="002034B2"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2034B2" w:rsidRPr="00084A61" w:rsidRDefault="00433804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2024 рік – 45</w:t>
            </w:r>
            <w:r w:rsidR="002034B2"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:rsidR="008F4059" w:rsidRPr="00084A61" w:rsidRDefault="008F4059" w:rsidP="005542D2">
            <w:pPr>
              <w:spacing w:line="19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 рік -</w:t>
            </w:r>
            <w:r w:rsidR="00433804" w:rsidRPr="00084A6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50,0</w:t>
            </w:r>
          </w:p>
        </w:tc>
      </w:tr>
    </w:tbl>
    <w:p w:rsidR="002034B2" w:rsidRPr="00084A61" w:rsidRDefault="002034B2" w:rsidP="002034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034B2" w:rsidRPr="00E3336C" w:rsidRDefault="002034B2" w:rsidP="002034B2">
      <w:pPr>
        <w:rPr>
          <w:rFonts w:ascii="Times New Roman" w:hAnsi="Times New Roman" w:cs="Times New Roman"/>
          <w:lang w:val="uk-UA"/>
        </w:rPr>
      </w:pPr>
    </w:p>
    <w:p w:rsidR="00F56D05" w:rsidRPr="00B95E13" w:rsidRDefault="004338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5E13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084A61" w:rsidRPr="00B95E1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                                                                                  </w:t>
      </w:r>
      <w:r w:rsidRPr="00B95E1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Олег СИВАК</w:t>
      </w:r>
    </w:p>
    <w:p w:rsidR="00B95E13" w:rsidRPr="00B95E13" w:rsidRDefault="00B95E1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95E13" w:rsidRPr="00B95E13" w:rsidSect="005542D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1EB" w:rsidRDefault="00E761EB" w:rsidP="00E3336C">
      <w:pPr>
        <w:spacing w:line="240" w:lineRule="auto"/>
      </w:pPr>
      <w:r>
        <w:separator/>
      </w:r>
    </w:p>
  </w:endnote>
  <w:endnote w:type="continuationSeparator" w:id="1">
    <w:p w:rsidR="00E761EB" w:rsidRDefault="00E761EB" w:rsidP="00E3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1EB" w:rsidRDefault="00E761EB" w:rsidP="00E3336C">
      <w:pPr>
        <w:spacing w:line="240" w:lineRule="auto"/>
      </w:pPr>
      <w:r>
        <w:separator/>
      </w:r>
    </w:p>
  </w:footnote>
  <w:footnote w:type="continuationSeparator" w:id="1">
    <w:p w:rsidR="00E761EB" w:rsidRDefault="00E761EB" w:rsidP="00E3336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6864"/>
      <w:docPartObj>
        <w:docPartGallery w:val="Page Numbers (Top of Page)"/>
        <w:docPartUnique/>
      </w:docPartObj>
    </w:sdtPr>
    <w:sdtContent>
      <w:p w:rsidR="005542D2" w:rsidRDefault="00E575C8">
        <w:pPr>
          <w:pStyle w:val="a4"/>
          <w:jc w:val="center"/>
        </w:pPr>
        <w:fldSimple w:instr=" PAGE   \* MERGEFORMAT ">
          <w:r w:rsidR="00634634">
            <w:rPr>
              <w:noProof/>
            </w:rPr>
            <w:t>18</w:t>
          </w:r>
        </w:fldSimple>
      </w:p>
    </w:sdtContent>
  </w:sdt>
  <w:p w:rsidR="005542D2" w:rsidRDefault="005542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B0397"/>
    <w:multiLevelType w:val="multilevel"/>
    <w:tmpl w:val="A96290C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6A51024D"/>
    <w:multiLevelType w:val="multilevel"/>
    <w:tmpl w:val="0520F0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4B2"/>
    <w:rsid w:val="0003215A"/>
    <w:rsid w:val="00084A61"/>
    <w:rsid w:val="000E5B89"/>
    <w:rsid w:val="0014006E"/>
    <w:rsid w:val="00152792"/>
    <w:rsid w:val="00155A0F"/>
    <w:rsid w:val="001562E2"/>
    <w:rsid w:val="00173EE8"/>
    <w:rsid w:val="0018037C"/>
    <w:rsid w:val="001965D6"/>
    <w:rsid w:val="00201FCD"/>
    <w:rsid w:val="002034B2"/>
    <w:rsid w:val="00292392"/>
    <w:rsid w:val="002A683C"/>
    <w:rsid w:val="002A7E3B"/>
    <w:rsid w:val="002B1F69"/>
    <w:rsid w:val="002C1601"/>
    <w:rsid w:val="003F14AC"/>
    <w:rsid w:val="00433804"/>
    <w:rsid w:val="004C04B9"/>
    <w:rsid w:val="005430DF"/>
    <w:rsid w:val="005542D2"/>
    <w:rsid w:val="005A6AB5"/>
    <w:rsid w:val="005C273E"/>
    <w:rsid w:val="00634634"/>
    <w:rsid w:val="006348A1"/>
    <w:rsid w:val="006750FB"/>
    <w:rsid w:val="0068048B"/>
    <w:rsid w:val="0068688B"/>
    <w:rsid w:val="006B60F1"/>
    <w:rsid w:val="006D4D1B"/>
    <w:rsid w:val="006D592D"/>
    <w:rsid w:val="00733E76"/>
    <w:rsid w:val="0074424C"/>
    <w:rsid w:val="007B622D"/>
    <w:rsid w:val="00843D74"/>
    <w:rsid w:val="00872BF3"/>
    <w:rsid w:val="008837DE"/>
    <w:rsid w:val="008F4059"/>
    <w:rsid w:val="009509C4"/>
    <w:rsid w:val="00951161"/>
    <w:rsid w:val="009B5B19"/>
    <w:rsid w:val="00A2476D"/>
    <w:rsid w:val="00A50C84"/>
    <w:rsid w:val="00A9328E"/>
    <w:rsid w:val="00AB1E71"/>
    <w:rsid w:val="00AE4F04"/>
    <w:rsid w:val="00AF1ADA"/>
    <w:rsid w:val="00B15A83"/>
    <w:rsid w:val="00B50851"/>
    <w:rsid w:val="00B65943"/>
    <w:rsid w:val="00B95E13"/>
    <w:rsid w:val="00C25A20"/>
    <w:rsid w:val="00CF10EC"/>
    <w:rsid w:val="00D9431F"/>
    <w:rsid w:val="00D96547"/>
    <w:rsid w:val="00DB03D2"/>
    <w:rsid w:val="00E048FC"/>
    <w:rsid w:val="00E12532"/>
    <w:rsid w:val="00E31894"/>
    <w:rsid w:val="00E3336C"/>
    <w:rsid w:val="00E575C8"/>
    <w:rsid w:val="00E761EB"/>
    <w:rsid w:val="00EA1FA5"/>
    <w:rsid w:val="00EB08DE"/>
    <w:rsid w:val="00ED239D"/>
    <w:rsid w:val="00F56D05"/>
    <w:rsid w:val="00FB1E84"/>
    <w:rsid w:val="00FC6BE5"/>
    <w:rsid w:val="00FD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B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4"/>
    <w:basedOn w:val="a1"/>
    <w:rsid w:val="002034B2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a1"/>
    <w:rsid w:val="002034B2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a1"/>
    <w:rsid w:val="002034B2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a1"/>
    <w:rsid w:val="002034B2"/>
    <w:pPr>
      <w:spacing w:after="0"/>
    </w:pPr>
    <w:rPr>
      <w:rFonts w:ascii="Arial" w:eastAsia="Arial" w:hAnsi="Arial" w:cs="Arial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3">
    <w:name w:val="No Spacing"/>
    <w:uiPriority w:val="1"/>
    <w:qFormat/>
    <w:rsid w:val="00E318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E3336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36C"/>
    <w:rPr>
      <w:rFonts w:ascii="Arial" w:eastAsia="Arial" w:hAnsi="Arial" w:cs="Arial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3336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336C"/>
    <w:rPr>
      <w:rFonts w:ascii="Arial" w:eastAsia="Arial" w:hAnsi="Arial" w:cs="Arial"/>
      <w:lang w:eastAsia="ru-RU"/>
    </w:rPr>
  </w:style>
  <w:style w:type="table" w:styleId="a8">
    <w:name w:val="Table Grid"/>
    <w:basedOn w:val="a1"/>
    <w:uiPriority w:val="59"/>
    <w:rsid w:val="00E33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6081-7758-4494-AD15-8D2B7260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2021-12-24T12:04:00Z</cp:lastPrinted>
  <dcterms:created xsi:type="dcterms:W3CDTF">2021-12-29T10:09:00Z</dcterms:created>
  <dcterms:modified xsi:type="dcterms:W3CDTF">2021-12-29T10:09:00Z</dcterms:modified>
</cp:coreProperties>
</file>